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p>
      <w:pPr>
        <w:pStyle w:val="699"/>
        <w:ind w:left="1470" w:right="-275"/>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r>
      <w:r/>
    </w:p>
    <w:p>
      <w:pPr>
        <w:ind w:right="-275"/>
        <w:jc w:val="center"/>
        <w:rPr>
          <w:rFonts w:hint="eastAsia" w:asciiTheme="minorEastAsia" w:hAnsiTheme="minorEastAsia" w:eastAsiaTheme="minorEastAsia" w:cstheme="minorEastAsia"/>
          <w:b/>
          <w:color w:val="000000" w:themeColor="text1"/>
          <w:sz w:val="96"/>
          <w:szCs w:val="96"/>
          <w14:textFill>
            <w14:solidFill>
              <w14:schemeClr w14:val="tx1"/>
            </w14:solidFill>
          </w14:textFill>
        </w:rPr>
      </w:pPr>
      <w:r>
        <w:rPr>
          <w:rFonts w:hint="eastAsia" w:asciiTheme="minorEastAsia" w:hAnsiTheme="minorEastAsia" w:eastAsiaTheme="minorEastAsia" w:cstheme="minorEastAsia"/>
          <w:bCs/>
          <w:color w:val="000000" w:themeColor="text1"/>
          <w:sz w:val="96"/>
          <w:szCs w:val="96"/>
          <w14:textFill>
            <w14:solidFill>
              <w14:schemeClr w14:val="tx1"/>
            </w14:solidFill>
          </w14:textFill>
        </w:rPr>
        <w:t xml:space="preserve">招 标 文 件</w:t>
      </w:r>
      <w:r/>
    </w:p>
    <w:p>
      <w:pPr>
        <w:ind w:right="-275"/>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ind w:right="-275"/>
        <w:jc w:val="center"/>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ind w:right="-275"/>
        <w:jc w:val="center"/>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ind w:right="-275"/>
        <w:jc w:val="center"/>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ind w:right="-275"/>
        <w:jc w:val="center"/>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pStyle w:val="699"/>
        <w:ind w:left="1470" w:right="-275"/>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pStyle w:val="699"/>
        <w:ind w:left="1470" w:right="-275"/>
        <w:rPr>
          <w:rFonts w:hint="eastAsia" w:asciiTheme="minorEastAsia" w:hAnsiTheme="minorEastAsia" w:eastAsiaTheme="minorEastAsia" w:cstheme="minorEastAsia"/>
          <w:color w:val="000000" w:themeColor="text1"/>
          <w:sz w:val="32"/>
          <w:szCs w:val="32"/>
          <w:u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32"/>
          <w:szCs w:val="32"/>
          <w:u w:val="none"/>
          <w:lang w:val="en-US" w:eastAsia="zh-CN" w:bidi="ar-SA"/>
          <w14:textFill>
            <w14:solidFill>
              <w14:schemeClr w14:val="tx1"/>
            </w14:solidFill>
          </w14:textFill>
        </w:rPr>
      </w:r>
      <w:r/>
    </w:p>
    <w:p>
      <w:pPr>
        <w:ind w:right="-275" w:firstLine="643"/>
        <w:jc w:val="left"/>
        <w:spacing w:line="360" w:lineRule="auto"/>
        <w:rPr>
          <w:rFonts w:hint="eastAsia" w:asciiTheme="minorEastAsia" w:hAnsiTheme="minorEastAsia" w:eastAsiaTheme="minorEastAsia" w:cstheme="minorEastAsia"/>
          <w:b/>
          <w:bCs/>
          <w:color w:val="000000" w:themeColor="text1"/>
          <w:sz w:val="32"/>
          <w:szCs w:val="32"/>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u w:val="none"/>
          <w:lang w:val="en-US" w:eastAsia="zh-CN" w:bidi="ar-SA"/>
          <w14:textFill>
            <w14:solidFill>
              <w14:schemeClr w14:val="tx1"/>
            </w14:solidFill>
          </w14:textFill>
        </w:rPr>
        <w:t xml:space="preserve">项目名称：</w:t>
      </w:r>
      <w:r>
        <w:rPr>
          <w:rFonts w:hint="eastAsia" w:asciiTheme="minorEastAsia" w:hAnsiTheme="minorEastAsia" w:eastAsiaTheme="minorEastAsia" w:cstheme="minorEastAsia"/>
          <w:b/>
          <w:bCs/>
          <w:color w:val="000000" w:themeColor="text1"/>
          <w:sz w:val="32"/>
          <w:szCs w:val="32"/>
          <w:u w:val="single"/>
          <w:lang w:val="en-US" w:eastAsia="zh-CN"/>
          <w14:textFill>
            <w14:solidFill>
              <w14:schemeClr w14:val="tx1"/>
            </w14:solidFill>
          </w14:textFill>
        </w:rPr>
        <w:t xml:space="preserve">2025-2026、2026-2027</w:t>
      </w:r>
      <w:r>
        <w:rPr>
          <w:rFonts w:hint="eastAsia" w:asciiTheme="minorEastAsia" w:hAnsiTheme="minorEastAsia" w:eastAsiaTheme="minorEastAsia" w:cstheme="minorEastAsia"/>
          <w:b/>
          <w:bCs/>
          <w:color w:val="000000" w:themeColor="text1"/>
          <w:sz w:val="32"/>
          <w:szCs w:val="32"/>
          <w:u w:val="single"/>
          <w:lang w:eastAsia="zh-CN"/>
          <w14:textFill>
            <w14:solidFill>
              <w14:schemeClr w14:val="tx1"/>
            </w14:solidFill>
          </w14:textFill>
        </w:rPr>
        <w:t xml:space="preserve">年大丰城区主次干道、桥梁、排水等市政设施及标志标线、栏杆等</w:t>
      </w:r>
      <w:r>
        <w:rPr>
          <w:rFonts w:hint="eastAsia" w:asciiTheme="minorEastAsia" w:hAnsiTheme="minorEastAsia" w:eastAsiaTheme="minorEastAsia" w:cstheme="minorEastAsia"/>
          <w:b/>
          <w:bCs/>
          <w:color w:val="000000" w:themeColor="text1"/>
          <w:sz w:val="32"/>
          <w:szCs w:val="32"/>
          <w:u w:val="single"/>
          <w:lang w:val="en-US" w:eastAsia="zh-CN"/>
          <w14:textFill>
            <w14:solidFill>
              <w14:schemeClr w14:val="tx1"/>
            </w14:solidFill>
          </w14:textFill>
        </w:rPr>
        <w:t xml:space="preserve">道路交通设施养护项目</w:t>
      </w:r>
      <w:r/>
    </w:p>
    <w:p>
      <w:pPr>
        <w:ind w:right="-275" w:firstLine="643"/>
        <w:jc w:val="left"/>
        <w:spacing w:line="360" w:lineRule="auto"/>
        <w:rPr>
          <w:rFonts w:hint="eastAsia" w:asciiTheme="minorEastAsia" w:hAnsiTheme="minorEastAsia" w:eastAsiaTheme="minorEastAsia" w:cstheme="minorEastAsia"/>
          <w:b/>
          <w:bCs/>
          <w:color w:val="000000" w:themeColor="text1"/>
          <w:sz w:val="32"/>
          <w:szCs w:val="32"/>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u w:val="none"/>
          <w:lang w:val="en-US" w:eastAsia="zh-CN"/>
          <w14:textFill>
            <w14:solidFill>
              <w14:schemeClr w14:val="tx1"/>
            </w14:solidFill>
          </w14:textFill>
        </w:rPr>
        <w:t xml:space="preserve">项目编号：</w:t>
      </w:r>
      <w:r>
        <w:rPr>
          <w:rFonts w:hint="eastAsia" w:asciiTheme="minorEastAsia" w:hAnsiTheme="minorEastAsia" w:eastAsiaTheme="minorEastAsia" w:cstheme="minorEastAsia"/>
          <w:b/>
          <w:bCs/>
          <w:color w:val="000000" w:themeColor="text1"/>
          <w:sz w:val="32"/>
          <w:szCs w:val="32"/>
          <w:u w:val="single"/>
          <w:lang w:val="en-US" w:eastAsia="zh-CN"/>
          <w14:textFill>
            <w14:solidFill>
              <w14:schemeClr w14:val="tx1"/>
            </w14:solidFill>
          </w14:textFill>
        </w:rPr>
        <w:t xml:space="preserve">JSZC-320904-RHZX-G2025-0019</w:t>
      </w:r>
      <w:r/>
    </w:p>
    <w:p>
      <w:pPr>
        <w:ind w:right="-275"/>
        <w:jc w:val="left"/>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ind w:right="-275"/>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pStyle w:val="697"/>
        <w:ind w:right="-275" w:firstLine="0"/>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pStyle w:val="697"/>
        <w:ind w:right="-275" w:firstLine="0"/>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pStyle w:val="697"/>
        <w:ind w:right="-275" w:firstLine="0"/>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pStyle w:val="697"/>
        <w:ind w:right="-275" w:firstLine="0"/>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pStyle w:val="697"/>
        <w:ind w:right="-275"/>
        <w:rPr>
          <w:rFonts w:hint="eastAsia" w:asciiTheme="minorEastAsia" w:hAnsiTheme="minorEastAsia" w:eastAsiaTheme="minorEastAsia" w:cstheme="minorEastAsia"/>
          <w:b/>
          <w:color w:val="000000" w:themeColor="text1"/>
          <w:sz w:val="40"/>
          <w:szCs w:val="40"/>
          <w14:textFill>
            <w14:solidFill>
              <w14:schemeClr w14:val="tx1"/>
            </w14:solidFill>
          </w14:textFill>
        </w:rPr>
      </w:pPr>
      <w:r>
        <w:rPr>
          <w:rFonts w:hint="eastAsia" w:asciiTheme="minorEastAsia" w:hAnsiTheme="minorEastAsia" w:eastAsiaTheme="minorEastAsia" w:cstheme="minorEastAsia"/>
          <w:b/>
          <w:color w:val="000000" w:themeColor="text1"/>
          <w:sz w:val="40"/>
          <w:szCs w:val="40"/>
          <w14:textFill>
            <w14:solidFill>
              <w14:schemeClr w14:val="tx1"/>
            </w14:solidFill>
          </w14:textFill>
        </w:rPr>
      </w:r>
      <w:r/>
    </w:p>
    <w:p>
      <w:pPr>
        <w:ind w:right="-275"/>
        <w:jc w:val="center"/>
        <w:spacing w:line="360" w:lineRule="auto"/>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z w:val="32"/>
          <w:szCs w:val="32"/>
          <w:lang w:eastAsia="zh-CN"/>
          <w14:textFill>
            <w14:solidFill>
              <w14:schemeClr w14:val="tx1"/>
            </w14:solidFill>
          </w14:textFill>
        </w:rPr>
        <w:t xml:space="preserve">盐城市大丰区住房和城乡建设局</w:t>
      </w:r>
      <w:r/>
    </w:p>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32"/>
          <w:szCs w:val="32"/>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32"/>
          <w:szCs w:val="32"/>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32"/>
          <w:szCs w:val="32"/>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32"/>
          <w:szCs w:val="32"/>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sz w:val="32"/>
          <w:szCs w:val="32"/>
          <w14:textFill>
            <w14:solidFill>
              <w14:schemeClr w14:val="tx1"/>
            </w14:solidFill>
          </w14:textFill>
        </w:rPr>
        <w:t xml:space="preserve">月</w:t>
      </w:r>
      <w:r/>
    </w:p>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spacing w:line="480" w:lineRule="auto"/>
        <w:rPr>
          <w:rFonts w:hint="eastAsia" w:asciiTheme="majorEastAsia" w:hAnsiTheme="majorEastAsia" w:eastAsiaTheme="majorEastAsia"/>
          <w:b/>
          <w:bCs/>
          <w:sz w:val="44"/>
          <w:szCs w:val="44"/>
          <w14:textFill>
            <w14:solidFill>
              <w14:schemeClr w14:val="tx1"/>
            </w14:solidFill>
          </w14:textFill>
        </w:rPr>
        <w:outlineLvl w:val="0"/>
      </w:pPr>
      <w:r>
        <w:rPr>
          <w:rFonts w:hint="eastAsia" w:asciiTheme="majorEastAsia" w:hAnsiTheme="majorEastAsia" w:eastAsiaTheme="majorEastAsia"/>
          <w:b/>
          <w:color w:val="000000" w:themeColor="text1"/>
          <w:sz w:val="44"/>
          <w:szCs w:val="44"/>
          <w14:textFill>
            <w14:solidFill>
              <w14:schemeClr w14:val="tx1"/>
            </w14:solidFill>
          </w14:textFill>
        </w:rPr>
      </w:r>
      <w:r>
        <w:rPr>
          <w:rFonts w:hint="eastAsia" w:asciiTheme="majorEastAsia" w:hAnsiTheme="majorEastAsia" w:eastAsiaTheme="majorEastAsia"/>
          <w:b/>
          <w:color w:val="000000" w:themeColor="text1"/>
          <w:sz w:val="44"/>
          <w:szCs w:val="44"/>
          <w14:textFill>
            <w14:solidFill>
              <w14:schemeClr w14:val="tx1"/>
            </w14:solidFill>
          </w14:textFill>
        </w:rPr>
      </w:r>
    </w:p>
    <w:p>
      <w:pPr>
        <w:ind w:right="-275"/>
        <w:jc w:val="center"/>
        <w:spacing w:line="480" w:lineRule="auto"/>
        <w:rPr>
          <w:rFonts w:hint="eastAsia" w:asciiTheme="majorEastAsia" w:hAnsiTheme="majorEastAsia" w:eastAsiaTheme="majorEastAsia"/>
          <w:b/>
          <w:bCs/>
          <w:sz w:val="44"/>
          <w:szCs w:val="44"/>
          <w14:textFill>
            <w14:solidFill>
              <w14:schemeClr w14:val="tx1"/>
            </w14:solidFill>
          </w14:textFill>
        </w:r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
    </w:p>
    <w:p>
      <w:pPr>
        <w:ind w:right="0"/>
        <w:jc w:val="center"/>
        <w:keepLines w:val="0"/>
        <w:keepNext w:val="0"/>
        <w:pageBreakBefore w:val="0"/>
        <w:spacing w:line="240" w:lineRule="auto"/>
        <w:widowControl w:val="off"/>
        <w:rPr>
          <w:rFonts w:hint="eastAsia" w:asciiTheme="minorEastAsia" w:hAnsiTheme="minorEastAsia" w:eastAsiaTheme="minorEastAsia" w:cstheme="minorEastAsia"/>
          <w:b/>
          <w:color w:val="000000" w:themeColor="text1"/>
          <w:sz w:val="44"/>
          <w:szCs w:val="44"/>
          <w14:textFill>
            <w14:solidFill>
              <w14:schemeClr w14:val="tx1"/>
            </w14:solidFill>
          </w14:textFill>
        </w:rPr>
        <w:outlineLvl w:val="0"/>
      </w:pPr>
      <w:r>
        <w:rPr>
          <w:rFonts w:hint="eastAsia" w:asciiTheme="minorEastAsia" w:hAnsiTheme="minorEastAsia" w:eastAsiaTheme="minorEastAsia" w:cstheme="minorEastAsia"/>
          <w:b/>
          <w:color w:val="000000" w:themeColor="text1"/>
          <w:sz w:val="44"/>
          <w:szCs w:val="44"/>
          <w14:textFill>
            <w14:solidFill>
              <w14:schemeClr w14:val="tx1"/>
            </w14:solidFill>
          </w14:textFill>
        </w:rPr>
        <w:t xml:space="preserve">总</w:t>
      </w:r>
      <w:r>
        <w:rPr>
          <w:rFonts w:hint="eastAsia" w:asciiTheme="minorEastAsia" w:hAnsiTheme="minorEastAsia" w:eastAsiaTheme="minorEastAsia" w:cstheme="minorEastAsia"/>
          <w:b/>
          <w:color w:val="000000" w:themeColor="text1"/>
          <w:sz w:val="44"/>
          <w:szCs w:val="44"/>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44"/>
          <w:szCs w:val="44"/>
          <w14:textFill>
            <w14:solidFill>
              <w14:schemeClr w14:val="tx1"/>
            </w14:solidFill>
          </w14:textFill>
        </w:rPr>
        <w:t xml:space="preserve">目</w:t>
      </w:r>
      <w:r>
        <w:rPr>
          <w:rFonts w:hint="eastAsia" w:asciiTheme="minorEastAsia" w:hAnsiTheme="minorEastAsia" w:eastAsiaTheme="minorEastAsia" w:cstheme="minorEastAsia"/>
          <w:b/>
          <w:color w:val="000000" w:themeColor="text1"/>
          <w:sz w:val="44"/>
          <w:szCs w:val="44"/>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44"/>
          <w:szCs w:val="44"/>
          <w14:textFill>
            <w14:solidFill>
              <w14:schemeClr w14:val="tx1"/>
            </w14:solidFill>
          </w14:textFill>
        </w:rPr>
        <w:t xml:space="preserve">录</w:t>
      </w:r>
      <w:r/>
    </w:p>
    <w:p>
      <w:pPr>
        <w:ind w:right="-275"/>
        <w:spacing w:line="480" w:lineRule="auto"/>
        <w:rPr>
          <w:rFonts w:hint="eastAsia" w:asciiTheme="minorEastAsia" w:hAnsiTheme="minorEastAsia" w:eastAsiaTheme="minorEastAsia" w:cstheme="minorEastAsia"/>
          <w:b/>
          <w:color w:val="000000" w:themeColor="text1"/>
          <w:sz w:val="32"/>
          <w:szCs w:val="32"/>
          <w14:textFill>
            <w14:solidFill>
              <w14:schemeClr w14:val="tx1"/>
            </w14:solidFill>
          </w14:textFill>
        </w:rPr>
      </w:pPr>
      <w:r>
        <w:rPr>
          <w:rFonts w:hint="eastAsia" w:asciiTheme="minorEastAsia" w:hAnsiTheme="minorEastAsia" w:eastAsiaTheme="minorEastAsia" w:cstheme="minorEastAsia"/>
          <w:b/>
          <w:color w:val="000000" w:themeColor="text1"/>
          <w:sz w:val="32"/>
          <w:szCs w:val="32"/>
          <w14:textFill>
            <w14:solidFill>
              <w14:schemeClr w14:val="tx1"/>
            </w14:solidFill>
          </w14:textFill>
        </w:rPr>
      </w:r>
      <w:r/>
    </w:p>
    <w:p>
      <w:pPr>
        <w:numPr>
          <w:ilvl w:val="0"/>
          <w:numId w:val="0"/>
        </w:numPr>
        <w:ind w:right="-275" w:firstLine="720"/>
        <w:jc w:val="left"/>
        <w:spacing w:line="480" w:lineRule="auto"/>
        <w:rPr>
          <w:rFonts w:hint="eastAsia" w:asciiTheme="minorEastAsia" w:hAnsiTheme="minorEastAsia" w:eastAsiaTheme="minorEastAsia" w:cstheme="minorEastAsia"/>
          <w:color w:val="000000" w:themeColor="text1"/>
          <w:sz w:val="36"/>
          <w:szCs w:val="36"/>
          <w14:textFill>
            <w14:solidFill>
              <w14:schemeClr w14:val="tx1"/>
            </w14:solidFill>
          </w14:textFill>
        </w:rPr>
        <w:outlineLvl w:val="0"/>
      </w:pP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招标公告……………………………………</w:t>
      </w:r>
      <w:r>
        <w:rPr>
          <w:rFonts w:hint="eastAsia" w:asciiTheme="minorEastAsia" w:hAnsiTheme="minorEastAsia" w:eastAsiaTheme="minorEastAsia" w:cstheme="minorEastAsia"/>
          <w:color w:val="000000" w:themeColor="text1"/>
          <w:sz w:val="36"/>
          <w:szCs w:val="36"/>
          <w:lang w:val="en-US" w:eastAsia="zh-CN"/>
          <w14:textFill>
            <w14:solidFill>
              <w14:schemeClr w14:val="tx1"/>
            </w14:solidFill>
          </w14:textFill>
        </w:rPr>
        <w:t xml:space="preserve">1</w:t>
      </w:r>
      <w:r/>
    </w:p>
    <w:p>
      <w:pPr>
        <w:numPr>
          <w:ilvl w:val="0"/>
          <w:numId w:val="0"/>
        </w:numPr>
        <w:ind w:right="-275" w:firstLine="720"/>
        <w:jc w:val="left"/>
        <w:spacing w:line="480" w:lineRule="auto"/>
        <w:rPr>
          <w:rFonts w:hint="eastAsia" w:asciiTheme="minorEastAsia" w:hAnsiTheme="minorEastAsia" w:eastAsiaTheme="minorEastAsia" w:cstheme="minorEastAsia"/>
          <w:color w:val="000000" w:themeColor="text1"/>
          <w:sz w:val="36"/>
          <w:szCs w:val="36"/>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36"/>
          <w:szCs w:val="36"/>
          <w14:textFill>
            <w14:solidFill>
              <w14:schemeClr w14:val="tx1"/>
            </w14:solidFill>
          </w14:textFill>
        </w:rPr>
        <w:t xml:space="preserve">投标人须知</w:t>
      </w: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w:t>
      </w:r>
      <w:r>
        <w:rPr>
          <w:rFonts w:hint="eastAsia" w:asciiTheme="minorEastAsia" w:hAnsiTheme="minorEastAsia" w:eastAsiaTheme="minorEastAsia" w:cstheme="minorEastAsia"/>
          <w:color w:val="000000" w:themeColor="text1"/>
          <w:sz w:val="36"/>
          <w:szCs w:val="36"/>
          <w:lang w:val="en-US" w:eastAsia="zh-CN"/>
          <w14:textFill>
            <w14:solidFill>
              <w14:schemeClr w14:val="tx1"/>
            </w14:solidFill>
          </w14:textFill>
        </w:rPr>
        <w:t xml:space="preserve">5</w:t>
      </w:r>
      <w:r/>
    </w:p>
    <w:p>
      <w:pPr>
        <w:numPr>
          <w:ilvl w:val="0"/>
          <w:numId w:val="0"/>
        </w:numPr>
        <w:ind w:right="-275" w:firstLine="720"/>
        <w:jc w:val="left"/>
        <w:spacing w:line="480" w:lineRule="auto"/>
        <w:rPr>
          <w:rFonts w:hint="default" w:asciiTheme="minorEastAsia" w:hAnsiTheme="minorEastAsia" w:eastAsiaTheme="minorEastAsia" w:cstheme="minorEastAsia"/>
          <w:color w:val="000000" w:themeColor="text1"/>
          <w:sz w:val="36"/>
          <w:szCs w:val="36"/>
          <w:lang w:val="en-US"/>
          <w14:textFill>
            <w14:solidFill>
              <w14:schemeClr w14:val="tx1"/>
            </w14:solidFill>
          </w14:textFill>
        </w:rPr>
        <w:outlineLvl w:val="0"/>
      </w:pP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合同条款……………………………………</w:t>
      </w:r>
      <w:r>
        <w:rPr>
          <w:rFonts w:hint="eastAsia" w:asciiTheme="minorEastAsia" w:hAnsiTheme="minorEastAsia" w:eastAsiaTheme="minorEastAsia" w:cstheme="minorEastAsia"/>
          <w:color w:val="000000" w:themeColor="text1"/>
          <w:sz w:val="36"/>
          <w:szCs w:val="36"/>
          <w:lang w:val="en-US" w:eastAsia="zh-CN"/>
          <w14:textFill>
            <w14:solidFill>
              <w14:schemeClr w14:val="tx1"/>
            </w14:solidFill>
          </w14:textFill>
        </w:rPr>
        <w:t xml:space="preserve">18</w:t>
      </w:r>
      <w:r/>
    </w:p>
    <w:p>
      <w:pPr>
        <w:numPr>
          <w:ilvl w:val="0"/>
          <w:numId w:val="0"/>
        </w:numPr>
        <w:ind w:right="-275" w:firstLine="720"/>
        <w:jc w:val="left"/>
        <w:spacing w:line="480" w:lineRule="auto"/>
        <w:rPr>
          <w:rFonts w:hint="default" w:asciiTheme="minorEastAsia" w:hAnsiTheme="minorEastAsia" w:eastAsiaTheme="minorEastAsia" w:cstheme="minorEastAsia"/>
          <w:color w:val="000000" w:themeColor="text1"/>
          <w:sz w:val="36"/>
          <w:szCs w:val="36"/>
          <w:lang w:val="en-US"/>
          <w14:textFill>
            <w14:solidFill>
              <w14:schemeClr w14:val="tx1"/>
            </w14:solidFill>
          </w14:textFill>
        </w:rPr>
        <w:outlineLvl w:val="0"/>
      </w:pPr>
      <w:r>
        <w:rPr>
          <w:rFonts w:hint="eastAsia" w:asciiTheme="minorEastAsia" w:hAnsiTheme="minorEastAsia" w:eastAsiaTheme="minorEastAsia" w:cstheme="minorEastAsia"/>
          <w:color w:val="000000" w:themeColor="text1"/>
          <w:sz w:val="36"/>
          <w:szCs w:val="36"/>
          <w:lang w:val="en-US" w:eastAsia="zh-CN"/>
          <w14:textFill>
            <w14:solidFill>
              <w14:schemeClr w14:val="tx1"/>
            </w14:solidFill>
          </w14:textFill>
        </w:rPr>
        <w:t xml:space="preserve">采购</w:t>
      </w: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需求……………………………………</w:t>
      </w:r>
      <w:r>
        <w:rPr>
          <w:rFonts w:hint="eastAsia" w:asciiTheme="minorEastAsia" w:hAnsiTheme="minorEastAsia" w:eastAsiaTheme="minorEastAsia" w:cstheme="minorEastAsia"/>
          <w:color w:val="000000" w:themeColor="text1"/>
          <w:sz w:val="36"/>
          <w:szCs w:val="36"/>
          <w:lang w:val="en-US" w:eastAsia="zh-CN"/>
          <w14:textFill>
            <w14:solidFill>
              <w14:schemeClr w14:val="tx1"/>
            </w14:solidFill>
          </w14:textFill>
        </w:rPr>
        <w:t xml:space="preserve">38</w:t>
      </w:r>
      <w:r/>
    </w:p>
    <w:p>
      <w:pPr>
        <w:numPr>
          <w:ilvl w:val="0"/>
          <w:numId w:val="0"/>
        </w:numPr>
        <w:ind w:right="-275" w:firstLine="720"/>
        <w:jc w:val="left"/>
        <w:spacing w:line="480" w:lineRule="auto"/>
        <w:rPr>
          <w:rFonts w:hint="default" w:asciiTheme="minorEastAsia" w:hAnsiTheme="minorEastAsia" w:eastAsiaTheme="minorEastAsia" w:cstheme="minorEastAsia"/>
          <w:color w:val="000000" w:themeColor="text1"/>
          <w:sz w:val="36"/>
          <w:szCs w:val="36"/>
          <w:lang w:val="en-US"/>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36"/>
          <w:szCs w:val="36"/>
          <w14:textFill>
            <w14:solidFill>
              <w14:schemeClr w14:val="tx1"/>
            </w14:solidFill>
          </w14:textFill>
        </w:rPr>
        <w:t xml:space="preserve">评标方法与评标标准</w:t>
      </w: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w:t>
      </w:r>
      <w:r>
        <w:rPr>
          <w:rFonts w:hint="eastAsia" w:asciiTheme="minorEastAsia" w:hAnsiTheme="minorEastAsia" w:eastAsiaTheme="minorEastAsia" w:cstheme="minorEastAsia"/>
          <w:color w:val="000000" w:themeColor="text1"/>
          <w:sz w:val="36"/>
          <w:szCs w:val="36"/>
          <w:lang w:val="en-US" w:eastAsia="zh-CN"/>
          <w14:textFill>
            <w14:solidFill>
              <w14:schemeClr w14:val="tx1"/>
            </w14:solidFill>
          </w14:textFill>
        </w:rPr>
        <w:t xml:space="preserve">137</w:t>
      </w:r>
      <w:r/>
    </w:p>
    <w:p>
      <w:pPr>
        <w:numPr>
          <w:ilvl w:val="0"/>
          <w:numId w:val="0"/>
        </w:numPr>
        <w:ind w:right="-275" w:firstLine="720"/>
        <w:jc w:val="left"/>
        <w:spacing w:line="480" w:lineRule="auto"/>
        <w:rPr>
          <w:rFonts w:hint="default" w:asciiTheme="minorEastAsia" w:hAnsiTheme="minorEastAsia" w:eastAsiaTheme="minorEastAsia" w:cstheme="minorEastAsia"/>
          <w:color w:val="000000" w:themeColor="text1"/>
          <w:sz w:val="36"/>
          <w:szCs w:val="36"/>
          <w:lang w:val="en-US"/>
          <w14:textFill>
            <w14:solidFill>
              <w14:schemeClr w14:val="tx1"/>
            </w14:solidFill>
          </w14:textFill>
        </w:rPr>
        <w:outlineLvl w:val="0"/>
      </w:pP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投标文件格式………………………………</w:t>
      </w:r>
      <w:r>
        <w:rPr>
          <w:rFonts w:hint="eastAsia" w:asciiTheme="minorEastAsia" w:hAnsiTheme="minorEastAsia" w:eastAsiaTheme="minorEastAsia" w:cstheme="minorEastAsia"/>
          <w:color w:val="000000" w:themeColor="text1"/>
          <w:sz w:val="36"/>
          <w:szCs w:val="36"/>
          <w:lang w:val="en-US" w:eastAsia="zh-CN"/>
          <w14:textFill>
            <w14:solidFill>
              <w14:schemeClr w14:val="tx1"/>
            </w14:solidFill>
          </w14:textFill>
        </w:rPr>
        <w:t xml:space="preserve">152</w:t>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9"/>
        <w:ind w:left="1470"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85"/>
        <w:ind w:right="-275"/>
        <w:rPr>
          <w:rFonts w:cs="宋体" w:asciiTheme="majorEastAsia" w:hAnsiTheme="majorEastAsia" w:eastAsiaTheme="majorEastAsia"/>
          <w:color w:val="000000" w:themeColor="text1"/>
          <w:sz w:val="21"/>
          <w:szCs w:val="21"/>
          <w14:textFill>
            <w14:solidFill>
              <w14:schemeClr w14:val="tx1"/>
            </w14:solidFill>
          </w14:textFill>
        </w:rPr>
        <w:sectPr>
          <w:footnotePr/>
          <w:endnotePr/>
          <w:type w:val="nextPage"/>
          <w:pgSz w:w="11907" w:h="16840" w:orient="portrait"/>
          <w:pgMar w:top="1417" w:right="1417" w:bottom="1417" w:left="1417" w:header="850" w:footer="850" w:gutter="0"/>
          <w:pgNumType w:start="1"/>
          <w:cols w:num="1" w:sep="0" w:space="720" w:equalWidth="1"/>
          <w:docGrid w:linePitch="360"/>
        </w:sectPr>
      </w:pPr>
      <w:r>
        <w:rPr>
          <w:rFonts w:cs="宋体" w:asciiTheme="majorEastAsia" w:hAnsiTheme="majorEastAsia" w:eastAsiaTheme="majorEastAsia"/>
          <w:color w:val="000000" w:themeColor="text1"/>
          <w:sz w:val="21"/>
          <w:szCs w:val="21"/>
          <w14:textFill>
            <w14:solidFill>
              <w14:schemeClr w14:val="tx1"/>
            </w14:solidFill>
          </w14:textFill>
        </w:rPr>
      </w:r>
      <w:r/>
    </w:p>
    <w:p>
      <w:pPr>
        <w:pStyle w:val="685"/>
        <w:ind w:right="-275"/>
        <w:jc w:val="center"/>
        <w:spacing w:line="360" w:lineRule="auto"/>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z w:val="32"/>
          <w:szCs w:val="32"/>
          <w14:textFill>
            <w14:solidFill>
              <w14:schemeClr w14:val="tx1"/>
            </w14:solidFill>
          </w14:textFill>
        </w:rPr>
        <w:t xml:space="preserve">第一章</w:t>
      </w:r>
      <w:bookmarkEnd w:id="0"/>
      <w:r>
        <w:rPr>
          <w:rFonts w:hint="eastAsia" w:asciiTheme="minorEastAsia" w:hAnsiTheme="minorEastAsia" w:eastAsiaTheme="minorEastAsia" w:cstheme="minorEastAsia"/>
          <w:color w:val="000000" w:themeColor="text1"/>
          <w:sz w:val="32"/>
          <w:szCs w:val="32"/>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32"/>
          <w:szCs w:val="32"/>
          <w14:textFill>
            <w14:solidFill>
              <w14:schemeClr w14:val="tx1"/>
            </w14:solidFill>
          </w14:textFill>
        </w:rPr>
        <w:t xml:space="preserve">招标公告</w:t>
      </w:r>
      <w:r/>
    </w:p>
    <w:p>
      <w:pPr>
        <w:ind w:right="-275"/>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项目概况</w:t>
      </w:r>
      <w:r/>
    </w:p>
    <w:p>
      <w:pPr>
        <w:ind w:right="-275"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2025-2026、2026-2027年大丰城区主次干道、桥梁、排水等市政设施及标志标线、栏杆等道路交通设施养护项目</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招标项目的潜在投标人</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可</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苏采云</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系统内免费下载（投标人必须在苏采云系统中获取采购文件，方能参与采购项目）</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，并于</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年</w:t>
      </w:r>
      <w:r>
        <w:rPr>
          <w:rFonts w:hint="eastAsia" w:asciiTheme="minorEastAsia" w:hAnsiTheme="minorEastAsia" w:eastAsiaTheme="minorEastAsia" w:cstheme="minorEastAsia"/>
          <w:bCs/>
          <w:color w:val="000000" w:themeColor="text1"/>
          <w:sz w:val="21"/>
          <w:szCs w:val="21"/>
          <w:u w:val="single"/>
          <w:lang w:val="en-US" w:eastAsia="zh-CN"/>
          <w14:textFill>
            <w14:solidFill>
              <w14:schemeClr w14:val="tx1"/>
            </w14:solidFill>
          </w14:textFill>
        </w:rPr>
        <w:t xml:space="preserve">10</w:t>
      </w:r>
      <w:r>
        <w:rPr>
          <w:rFonts w:hint="eastAsia" w:asciiTheme="minorEastAsia" w:hAnsiTheme="minorEastAsia" w:eastAsiaTheme="minorEastAsia" w:cstheme="minorEastAsia"/>
          <w:bCs/>
          <w:color w:val="000000" w:themeColor="text1"/>
          <w:sz w:val="21"/>
          <w:szCs w:val="21"/>
          <w:highlight w:val="none"/>
          <w:u w:val="single"/>
          <w14:textFill>
            <w14:solidFill>
              <w14:schemeClr w14:val="tx1"/>
            </w14:solidFill>
          </w14:textFill>
        </w:rPr>
        <w:t xml:space="preserve">月</w:t>
      </w:r>
      <w:r>
        <w:rPr>
          <w:rFonts w:hint="eastAsia" w:asciiTheme="minorEastAsia" w:hAnsiTheme="minorEastAsia" w:eastAsiaTheme="minorEastAsia" w:cstheme="minorEastAsia"/>
          <w:bCs/>
          <w:color w:val="000000" w:themeColor="text1"/>
          <w:sz w:val="21"/>
          <w:szCs w:val="21"/>
          <w:highlight w:val="none"/>
          <w:u w:val="single"/>
          <w:lang w:val="en-US" w:eastAsia="zh-CN"/>
          <w14:textFill>
            <w14:solidFill>
              <w14:schemeClr w14:val="tx1"/>
            </w14:solidFill>
          </w14:textFill>
        </w:rPr>
        <w:t xml:space="preserve">21</w:t>
      </w:r>
      <w:r>
        <w:rPr>
          <w:rFonts w:hint="eastAsia" w:asciiTheme="minorEastAsia" w:hAnsiTheme="minorEastAsia" w:eastAsiaTheme="minorEastAsia" w:cstheme="minorEastAsia"/>
          <w:bCs/>
          <w:color w:val="000000" w:themeColor="text1"/>
          <w:sz w:val="21"/>
          <w:szCs w:val="21"/>
          <w:highlight w:val="none"/>
          <w:u w:val="single"/>
          <w14:textFill>
            <w14:solidFill>
              <w14:schemeClr w14:val="tx1"/>
            </w14:solidFill>
          </w14:textFill>
        </w:rPr>
        <w:t xml:space="preserve">日</w:t>
      </w:r>
      <w:r>
        <w:rPr>
          <w:rFonts w:hint="eastAsia" w:asciiTheme="minorEastAsia" w:hAnsiTheme="minorEastAsia" w:eastAsiaTheme="minorEastAsia" w:cstheme="minorEastAsia"/>
          <w:bCs/>
          <w:color w:val="000000" w:themeColor="text1"/>
          <w:sz w:val="21"/>
          <w:szCs w:val="21"/>
          <w:highlight w:val="none"/>
          <w:u w:val="single"/>
          <w:lang w:val="en-US" w:eastAsia="zh-CN"/>
          <w14:textFill>
            <w14:solidFill>
              <w14:schemeClr w14:val="tx1"/>
            </w14:solidFill>
          </w14:textFill>
        </w:rPr>
        <w:t xml:space="preserve">10</w:t>
      </w:r>
      <w:r>
        <w:rPr>
          <w:rFonts w:hint="eastAsia" w:asciiTheme="minorEastAsia" w:hAnsiTheme="minorEastAsia" w:eastAsiaTheme="minorEastAsia" w:cstheme="minorEastAsia"/>
          <w:bCs/>
          <w:color w:val="000000" w:themeColor="text1"/>
          <w:sz w:val="21"/>
          <w:szCs w:val="21"/>
          <w:highlight w:val="none"/>
          <w:u w:val="single"/>
          <w14:textFill>
            <w14:solidFill>
              <w14:schemeClr w14:val="tx1"/>
            </w14:solidFill>
          </w14:textFill>
        </w:rPr>
        <w:t xml:space="preserve">点</w:t>
      </w:r>
      <w:r>
        <w:rPr>
          <w:rFonts w:hint="eastAsia" w:asciiTheme="minorEastAsia" w:hAnsiTheme="minorEastAsia" w:eastAsiaTheme="minorEastAsia" w:cstheme="minorEastAsia"/>
          <w:bCs/>
          <w:color w:val="000000" w:themeColor="text1"/>
          <w:sz w:val="21"/>
          <w:szCs w:val="21"/>
          <w:highlight w:val="none"/>
          <w:u w:val="single"/>
          <w:lang w:val="en-US" w:eastAsia="zh-CN"/>
          <w14:textFill>
            <w14:solidFill>
              <w14:schemeClr w14:val="tx1"/>
            </w14:solidFill>
          </w14:textFill>
        </w:rPr>
        <w:t xml:space="preserve">00</w:t>
      </w:r>
      <w:r>
        <w:rPr>
          <w:rFonts w:hint="eastAsia" w:asciiTheme="minorEastAsia" w:hAnsiTheme="minorEastAsia" w:eastAsiaTheme="minorEastAsia" w:cstheme="minorEastAsia"/>
          <w:bCs/>
          <w:color w:val="000000" w:themeColor="text1"/>
          <w:sz w:val="21"/>
          <w:szCs w:val="21"/>
          <w:highlight w:val="none"/>
          <w:u w:val="single"/>
          <w14:textFill>
            <w14:solidFill>
              <w14:schemeClr w14:val="tx1"/>
            </w14:solidFill>
          </w14:textFill>
        </w:rPr>
        <w:t xml:space="preserve">分</w:t>
      </w:r>
      <w:r>
        <w:rPr>
          <w:rFonts w:hint="eastAsia" w:asciiTheme="minorEastAsia" w:hAnsiTheme="minorEastAsia" w:eastAsiaTheme="minorEastAsia" w:cstheme="minorEastAsia"/>
          <w:bCs/>
          <w:color w:val="000000" w:themeColor="text1"/>
          <w:sz w:val="21"/>
          <w:szCs w:val="21"/>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北京时间）前递交投标文件</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w:t>
      </w:r>
      <w:r/>
    </w:p>
    <w:p>
      <w:pPr>
        <w:pStyle w:val="685"/>
        <w:ind w:right="-275"/>
        <w:jc w:val="left"/>
        <w:spacing w:line="360" w:lineRule="auto"/>
        <w:tabs>
          <w:tab w:val="left" w:pos="0" w:leader="none"/>
          <w:tab w:val="left" w:pos="3165" w:leader="none"/>
          <w:tab w:val="center" w:pos="4153" w:leader="none"/>
        </w:tabs>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bookmarkStart w:id="6" w:name="_Toc28359079"/>
      <w:r/>
      <w:bookmarkStart w:id="7" w:name="_Toc28359002"/>
      <w:r/>
      <w:bookmarkStart w:id="8" w:name="_Toc35393790"/>
      <w:r/>
      <w:bookmarkStart w:id="9" w:name="_Toc35393621"/>
      <w:r/>
      <w:bookmarkStart w:id="10" w:name="_Hlk24379207"/>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一、项目基本情况</w:t>
      </w:r>
      <w:bookmarkEnd w:id="6"/>
      <w:r/>
      <w:bookmarkEnd w:id="7"/>
      <w:r/>
      <w:bookmarkEnd w:id="8"/>
      <w:r/>
      <w:bookmarkEnd w:id="9"/>
      <w:r/>
      <w:r/>
    </w:p>
    <w:p>
      <w:pPr>
        <w:ind w:right="-275" w:firstLine="42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项目编号：</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JSZC-320904-RHZX-G2025-0019</w:t>
      </w:r>
      <w:r/>
    </w:p>
    <w:p>
      <w:pPr>
        <w:ind w:right="-275" w:firstLine="420"/>
        <w:spacing w:line="360" w:lineRule="auto"/>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项目名称：</w:t>
      </w:r>
      <w:bookmarkEnd w:id="10"/>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2025-2026、2026-2027年大丰城区主次干道、桥梁、排水等市政设施及标志标线、栏杆等道路交通设施养护项目</w:t>
      </w:r>
      <w:r/>
    </w:p>
    <w:p>
      <w:pPr>
        <w:ind w:right="-275" w:firstLine="420"/>
        <w:spacing w:line="360" w:lineRule="auto"/>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采购方式：</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公开招标</w:t>
      </w:r>
      <w:r/>
    </w:p>
    <w:p>
      <w:pPr>
        <w:ind w:right="-275" w:firstLine="420"/>
        <w:spacing w:line="360" w:lineRule="auto"/>
        <w:rPr>
          <w:rFonts w:hint="eastAsia" w:asciiTheme="minorEastAsia" w:hAnsiTheme="minorEastAsia" w:eastAsiaTheme="minorEastAsia" w:cstheme="minorEastAsia"/>
          <w:color w:val="000000" w:themeColor="text1"/>
          <w:sz w:val="21"/>
          <w:szCs w:val="21"/>
          <w:highlight w:val="none"/>
          <w:u w:val="single"/>
          <w:lang w:val="en-US"/>
          <w14:textFill>
            <w14:solidFill>
              <w14:schemeClr w14:val="tx1"/>
            </w14:solidFill>
          </w14:textFill>
        </w:rPr>
      </w:pPr>
      <w:r>
        <w:rPr>
          <w:rFonts w:hint="eastAsia" w:asciiTheme="minorEastAsia" w:hAnsiTheme="minorEastAsia" w:eastAsiaTheme="minorEastAsia" w:cstheme="minorEastAsia"/>
          <w:color w:val="000000" w:themeColor="text1"/>
          <w:sz w:val="21"/>
          <w:szCs w:val="21"/>
          <w:u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u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u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u w:val="none"/>
          <w14:textFill>
            <w14:solidFill>
              <w14:schemeClr w14:val="tx1"/>
            </w14:solidFill>
          </w14:textFill>
        </w:rPr>
        <w:t xml:space="preserve">最高限价：</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采购包一：1100 万元、采购包二：300 万元、采购包三：300 万元、采购包四：300万元、采购包五：400 万元、采购包六：400 万元、采购包七：200万元、采购包八：200 万元。</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以上各采购包最高限价为二年限价的合计。</w:t>
      </w:r>
      <w:r/>
    </w:p>
    <w:p>
      <w:pPr>
        <w:ind w:firstLine="420"/>
        <w:spacing w:before="0" w:line="360" w:lineRule="auto"/>
        <w:rPr>
          <w:rFonts w:hint="eastAsia" w:asciiTheme="minorEastAsia" w:hAnsiTheme="minorEastAsia" w:eastAsiaTheme="minorEastAsia" w:cstheme="minorEastAsia"/>
          <w:b/>
          <w:bCs/>
          <w:color w:val="000000" w:themeColor="text1"/>
          <w:sz w:val="21"/>
          <w:szCs w:val="21"/>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采购需求</w:t>
      </w:r>
      <w:r>
        <w:rPr>
          <w:rFonts w:hint="eastAsia" w:asciiTheme="minorEastAsia" w:hAnsiTheme="minorEastAsia" w:eastAsiaTheme="minorEastAsia" w:cstheme="minorEastAsia"/>
          <w:color w:val="000000" w:themeColor="text1"/>
          <w:sz w:val="21"/>
          <w:szCs w:val="21"/>
          <w:u w:val="none"/>
          <w:lang w:val="en-US"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u w:val="single"/>
          <w:lang w:val="en-US" w:eastAsia="zh-CN"/>
          <w14:textFill>
            <w14:solidFill>
              <w14:schemeClr w14:val="tx1"/>
            </w14:solidFill>
          </w14:textFill>
        </w:rPr>
        <w:t xml:space="preserve">1、地上市政维修及养护具体范围：</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一是二卯酉河以北、纬一路（含）以南（不含通港大道）、陈李线（不含陈李线）以西、东沿河路（含）以东，不含五一路以东的大华路；二是二卯酉河以南、南翔路（含南翔路）以北、五一路以西（含）、常新路以东（含）。三是住建局负责建设的幸福西路（西康路-金海路）、新村西路（西康路-老斗龙港河）（不含桥）、常新北路（通港大道-南环路）、东宁路（通港大道-城北污水处理厂）、黄海路（金海路-常新路）、南翔路（高速口-常新路）</w:t>
      </w:r>
      <w:r>
        <w:rPr>
          <w:rFonts w:hint="eastAsia" w:asciiTheme="minorEastAsia" w:hAnsiTheme="minorEastAsia" w:eastAsiaTheme="minorEastAsia" w:cstheme="minorEastAsia"/>
          <w:b/>
          <w:bCs/>
          <w:color w:val="000000" w:themeColor="text1"/>
          <w:sz w:val="21"/>
          <w:szCs w:val="21"/>
          <w:u w:val="single"/>
          <w:lang w:val="en-US" w:eastAsia="zh-CN"/>
          <w14:textFill>
            <w14:solidFill>
              <w14:schemeClr w14:val="tx1"/>
            </w14:solidFill>
          </w14:textFill>
        </w:rPr>
        <w:t xml:space="preserve">2、雨水管网、交通设施具体范围：</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同市政维修及养护范围。</w:t>
      </w:r>
      <w:r/>
    </w:p>
    <w:p>
      <w:pPr>
        <w:ind w:left="0" w:firstLine="540"/>
        <w:spacing w:before="0" w:line="360" w:lineRule="auto"/>
        <w:rPr>
          <w:rFonts w:hint="eastAsia" w:asciiTheme="minorEastAsia" w:hAnsiTheme="minorEastAsia" w:eastAsiaTheme="minorEastAsia" w:cstheme="minorEastAsia"/>
          <w:color w:val="000000" w:themeColor="text1"/>
          <w:sz w:val="21"/>
          <w:szCs w:val="21"/>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u w:val="none"/>
          <w:lang w:val="en-US" w:eastAsia="zh-CN"/>
          <w14:textFill>
            <w14:solidFill>
              <w14:schemeClr w14:val="tx1"/>
            </w14:solidFill>
          </w14:textFill>
        </w:rPr>
        <w:t xml:space="preserve">（6）标段划分及采购内容</w:t>
      </w:r>
      <w:r/>
    </w:p>
    <w:tbl>
      <w:tblPr>
        <w:tblStyle w:val="710"/>
        <w:tblpPr w:horzAnchor="page" w:tblpXSpec="center" w:vertAnchor="text" w:tblpY="293"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2887"/>
        <w:gridCol w:w="3721"/>
        <w:gridCol w:w="1360"/>
      </w:tblGrid>
      <w:tr>
        <w:trPr>
          <w:jc w:val="center"/>
          <w:trHeight w:val="546"/>
        </w:trPr>
        <w:tc>
          <w:tcPr>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标段号</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标段划分</w:t>
            </w:r>
            <w:r/>
          </w:p>
        </w:tc>
        <w:tc>
          <w:tcPr>
            <w:tcW w:w="2003"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采购内容</w:t>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预算金额</w:t>
            </w:r>
            <w:r/>
          </w:p>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（万元）</w:t>
            </w:r>
            <w:r/>
          </w:p>
        </w:tc>
      </w:tr>
      <w:tr>
        <w:trPr>
          <w:jc w:val="center"/>
          <w:trHeight w:val="557"/>
        </w:trPr>
        <w:tc>
          <w:tcPr>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采购包一</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东宁路以西（不含东宁路）市政养护</w:t>
            </w:r>
            <w:r/>
          </w:p>
        </w:tc>
        <w:tc>
          <w:tcPr>
            <w:tcW w:w="2003" w:type="pct"/>
            <w:vAlign w:val="center"/>
            <w:vMerge w:val="restart"/>
            <w:textDirection w:val="lrTb"/>
            <w:noWrap w:val="false"/>
          </w:tcPr>
          <w:p>
            <w:pPr>
              <w:jc w:val="left"/>
              <w:spacing w:line="240" w:lineRule="auto"/>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采购包一、二、三、四为地上市政维修养护；采购内容主要包含主城区内的主次干道、人行道、桥梁、雨水管道、井盖专项整治、背街小巷日常维护；警示桩、U型杆、减速带、双面爆闪灯、广角镜、隔离栏（新增）、井盖、中高考期间护栏租赁等辅助交通设施、配合采购人防汛抢险要求等。</w:t>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1100.00</w:t>
            </w:r>
            <w:r/>
          </w:p>
        </w:tc>
      </w:tr>
      <w:tr>
        <w:trPr>
          <w:jc w:val="center"/>
          <w:trHeight w:val="594"/>
        </w:trPr>
        <w:tc>
          <w:tcPr>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采购包二</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东宁路（含）以东、五一路（含）以西、幸福路（不含）以北市政养护</w:t>
            </w:r>
            <w:r/>
          </w:p>
        </w:tc>
        <w:tc>
          <w:tcPr>
            <w:tcW w:w="2003"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300.00</w:t>
            </w:r>
            <w:r/>
          </w:p>
        </w:tc>
      </w:tr>
      <w:tr>
        <w:trPr>
          <w:jc w:val="center"/>
          <w:trHeight w:val="594"/>
        </w:trPr>
        <w:tc>
          <w:tcPr>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采购包三</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东宁路（含）以东、五一路（含）以西、幸福路（含）以南市政养护</w:t>
            </w:r>
            <w:r/>
          </w:p>
        </w:tc>
        <w:tc>
          <w:tcPr>
            <w:tcW w:w="2003"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300.00</w:t>
            </w:r>
            <w:r/>
          </w:p>
        </w:tc>
      </w:tr>
      <w:tr>
        <w:trPr>
          <w:jc w:val="center"/>
          <w:trHeight w:val="654"/>
        </w:trPr>
        <w:tc>
          <w:tcPr>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采购包四</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五一路（不含）以东市政养护</w:t>
            </w:r>
            <w:r/>
          </w:p>
        </w:tc>
        <w:tc>
          <w:tcPr>
            <w:tcW w:w="2003"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300.00</w:t>
            </w:r>
            <w:r/>
          </w:p>
        </w:tc>
      </w:tr>
      <w:tr>
        <w:trPr>
          <w:jc w:val="center"/>
          <w:trHeight w:val="491"/>
        </w:trPr>
        <w:tc>
          <w:tcPr>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采购包五</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东宁路（含）以西地下雨水管网维修养护</w:t>
            </w:r>
            <w:r/>
          </w:p>
        </w:tc>
        <w:tc>
          <w:tcPr>
            <w:tcW w:w="2003" w:type="pct"/>
            <w:vAlign w:val="center"/>
            <w:vMerge w:val="restart"/>
            <w:textDirection w:val="lrTb"/>
            <w:noWrap w:val="false"/>
          </w:tcPr>
          <w:p>
            <w:pPr>
              <w:jc w:val="left"/>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采购包五、六为地下雨水管网维修养护；采购内容主要包含区域范围内以及要求范围内的老旧小区雨水管道的实施排查、CCTV检测、疏通、维修、局部更换、信息系统对接、</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配合采购人防汛抢险要求</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等。</w:t>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400.00</w:t>
            </w:r>
            <w:r/>
          </w:p>
        </w:tc>
      </w:tr>
      <w:tr>
        <w:trPr>
          <w:jc w:val="center"/>
          <w:trHeight w:val="491"/>
        </w:trPr>
        <w:tc>
          <w:tcPr>
            <w:shd w:val="clear" w:color="auto" w:fill="auto"/>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采购包六</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东宁路以东地下雨水管网维修养护</w:t>
            </w:r>
            <w:r/>
          </w:p>
        </w:tc>
        <w:tc>
          <w:tcPr>
            <w:tcW w:w="2003"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400.00</w:t>
            </w:r>
            <w:r/>
          </w:p>
        </w:tc>
      </w:tr>
      <w:tr>
        <w:trPr>
          <w:jc w:val="center"/>
          <w:trHeight w:val="706"/>
        </w:trPr>
        <w:tc>
          <w:tcPr>
            <w:shd w:val="clear" w:color="auto" w:fill="auto"/>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采购包七</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东宁路（不含）以西：广告、标牌、标线、交通信号灯养护</w:t>
            </w:r>
            <w:r/>
          </w:p>
        </w:tc>
        <w:tc>
          <w:tcPr>
            <w:tcW w:w="2003" w:type="pct"/>
            <w:vAlign w:val="center"/>
            <w:vMerge w:val="restart"/>
            <w:textDirection w:val="lrTb"/>
            <w:noWrap w:val="false"/>
          </w:tcPr>
          <w:p>
            <w:pPr>
              <w:jc w:val="left"/>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七、八为交通设施养护；采购内容主要包含对养护范围内城市道路交通安全设施进行日常巡查，及时对因交通事故、自然灾害、锈蚀等因素所损坏的标志、标牌、标线等各类交通安全设施进行维护，按业主要求对交通安全设施、公益广告、信号灯等进行调整、增设、更换、</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配合采购人防汛抢险要求</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等。</w:t>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200.00</w:t>
            </w:r>
            <w:r/>
          </w:p>
        </w:tc>
      </w:tr>
      <w:tr>
        <w:trPr>
          <w:jc w:val="center"/>
          <w:trHeight w:val="1252"/>
        </w:trPr>
        <w:tc>
          <w:tcPr>
            <w:tcW w:w="708"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采购包八</w:t>
            </w:r>
            <w:r/>
          </w:p>
        </w:tc>
        <w:tc>
          <w:tcPr>
            <w:tcW w:w="1554"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东宁路（含）以东：广告、标牌、标线、交通信号灯养护</w:t>
            </w:r>
            <w:r/>
          </w:p>
        </w:tc>
        <w:tc>
          <w:tcPr>
            <w:tcW w:w="2003"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r>
            <w:r/>
          </w:p>
        </w:tc>
        <w:tc>
          <w:tcPr>
            <w:tcW w:w="732" w:type="pct"/>
            <w:vAlign w:val="center"/>
            <w:textDirection w:val="lrTb"/>
            <w:noWrap w:val="false"/>
          </w:tcPr>
          <w:p>
            <w:pPr>
              <w:jc w:val="center"/>
              <w:spacing w:line="24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200.00</w:t>
            </w:r>
            <w:r/>
          </w:p>
        </w:tc>
      </w:tr>
    </w:tbl>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highlight w:val="red"/>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7）合同履行期限：二年。</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（8）本项目不接受联合体投标。采购人谢绝联合体和杜绝挂靠单位参与本项目的投标，中标后不得以任何方式进行转包与分包。</w:t>
      </w:r>
      <w:r/>
    </w:p>
    <w:p>
      <w:pPr>
        <w:pStyle w:val="685"/>
        <w:ind w:right="0"/>
        <w:jc w:val="left"/>
        <w:keepLines w:val="0"/>
        <w:pageBreakBefore w:val="0"/>
        <w:spacing w:line="360" w:lineRule="auto"/>
        <w:tabs>
          <w:tab w:val="left" w:pos="0" w:leader="none"/>
          <w:tab w:val="left" w:pos="3165" w:leader="none"/>
          <w:tab w:val="center" w:pos="4153" w:leader="none"/>
        </w:tabs>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bookmarkStart w:id="11" w:name="_Toc28359080"/>
      <w:r/>
      <w:bookmarkStart w:id="12" w:name="_Toc35393791"/>
      <w:r/>
      <w:bookmarkStart w:id="13" w:name="_Toc35393622"/>
      <w:r/>
      <w:bookmarkStart w:id="14" w:name="_Toc28359003"/>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二、申请人的资格要求：</w:t>
      </w:r>
      <w:bookmarkEnd w:id="11"/>
      <w:r/>
      <w:bookmarkEnd w:id="12"/>
      <w:r/>
      <w:bookmarkEnd w:id="13"/>
      <w:r/>
      <w:bookmarkEnd w:id="14"/>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pPr>
      <w:r/>
      <w:bookmarkStart w:id="15" w:name="_Toc35393623"/>
      <w:r/>
      <w:bookmarkStart w:id="16" w:name="_Toc28359004"/>
      <w:r/>
      <w:bookmarkStart w:id="17" w:name="_Toc28359081"/>
      <w:r/>
      <w:bookmarkStart w:id="18" w:name="_Toc35393792"/>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1.满足《中华人民共和国政府采购法》第二十二条规定，并提供下列资料：</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（1）法人或者其他组织的营业执照等证明文件，自然人的身份证明；</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（2）上一年度（202</w:t>
      </w: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年度）财务报告</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（投标人成立不满一年无</w:t>
      </w: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需提供）；</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（4）具备履行合同所必需的设备和专业技术能力的书面声明；</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（5）参加政府采购活动前3年内在经营活动中没有重大违法记录的书面声明</w:t>
      </w:r>
      <w:r>
        <w:rPr>
          <w:rFonts w:hint="eastAsia" w:asciiTheme="minorEastAsia" w:hAnsiTheme="minorEastAsia" w:eastAsiaTheme="minorEastAsia" w:cstheme="minorEastAsia"/>
          <w:color w:val="000000" w:themeColor="text1"/>
          <w:sz w:val="21"/>
          <w:szCs w:val="21"/>
          <w:shd w:val="clear" w:color="auto" w:fill="ffffff"/>
          <w:lang w:eastAsia="zh-CN"/>
          <w14:textFill>
            <w14:solidFill>
              <w14:schemeClr w14:val="tx1"/>
            </w14:solidFill>
          </w14:textFill>
        </w:rPr>
        <w:t xml:space="preserve">；</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shd w:val="clear" w:color="auto" w:fill="ffffff"/>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法律、行政法规规定的其他条件；</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Theme="minorEastAsia" w:hAnsiTheme="minorEastAsia" w:eastAsiaTheme="minorEastAsia" w:cstheme="minorEastAsia"/>
          <w:color w:val="000000" w:themeColor="text1"/>
          <w:sz w:val="21"/>
          <w:szCs w:val="21"/>
          <w:shd w:val="clear" w:color="auto" w:fill="ffffff"/>
          <w:lang w:eastAsia="zh-CN"/>
          <w14:textFill>
            <w14:solidFill>
              <w14:schemeClr w14:val="tx1"/>
            </w14:solidFill>
          </w14:textFill>
        </w:rPr>
        <w:t xml:space="preserve">；</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z w:val="21"/>
          <w:szCs w:val="21"/>
          <w:shd w:val="clear" w:color="auto" w:fill="ffffff"/>
          <w14:textFill>
            <w14:solidFill>
              <w14:schemeClr w14:val="tx1"/>
            </w14:solidFill>
          </w14:textFill>
        </w:rPr>
        <w:t xml:space="preserve">）单位负责人为同一人或者存在直接控股、管理关系的不同投标人，不得参加同一合同项下的政府采购活动。</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2、落实政府采购政策需满足的资格要求：无</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3.本项目的特定资格要求：</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投标申请人须是在中国境内注册，</w:t>
      </w:r>
      <w:r>
        <w:rPr>
          <w:rFonts w:hint="eastAsia" w:asciiTheme="minorEastAsia" w:hAnsiTheme="minorEastAsia" w:eastAsiaTheme="minorEastAsia" w:cstheme="minorEastAsia"/>
          <w:b/>
          <w:bCs/>
          <w:color w:val="000000" w:themeColor="text1"/>
          <w:sz w:val="21"/>
          <w:szCs w:val="21"/>
          <w:shd w:val="clear" w:color="auto" w:fill="ffffff"/>
          <w:lang w:val="en-US" w:eastAsia="zh-CN"/>
          <w14:textFill>
            <w14:solidFill>
              <w14:schemeClr w14:val="tx1"/>
            </w14:solidFill>
          </w14:textFill>
        </w:rPr>
        <w:t xml:space="preserve">采购包一、采购包二、采购包三、采购包四</w:t>
      </w: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投标申请人必须具有建设行政主管部门核发的市政公用工程施工总承包三级及以上资质，且取得安全生产许可证，并在人员、设备、资金等方面具有相应的施工养护及巡护能力。</w:t>
      </w:r>
      <w:r>
        <w:rPr>
          <w:rFonts w:hint="eastAsia" w:asciiTheme="minorEastAsia" w:hAnsiTheme="minorEastAsia" w:eastAsiaTheme="minorEastAsia" w:cstheme="minorEastAsia"/>
          <w:b/>
          <w:bCs/>
          <w:color w:val="000000" w:themeColor="text1"/>
          <w:sz w:val="21"/>
          <w:szCs w:val="21"/>
          <w:highlight w:val="none"/>
          <w:shd w:val="clear" w:color="auto" w:fill="ffffff"/>
          <w:lang w:val="en-US" w:eastAsia="zh-CN"/>
          <w14:textFill>
            <w14:solidFill>
              <w14:schemeClr w14:val="tx1"/>
            </w14:solidFill>
          </w14:textFill>
        </w:rPr>
        <w:t xml:space="preserve">采购包五、采购包六</w:t>
      </w:r>
      <w:r>
        <w:rPr>
          <w:rFonts w:hint="eastAsia" w:asciiTheme="minorEastAsia" w:hAnsiTheme="minorEastAsia" w:eastAsiaTheme="minorEastAsia" w:cstheme="minorEastAsia"/>
          <w:color w:val="000000" w:themeColor="text1"/>
          <w:sz w:val="21"/>
          <w:szCs w:val="21"/>
          <w:highlight w:val="none"/>
          <w:shd w:val="clear" w:color="auto" w:fill="ffffff"/>
          <w:lang w:val="en-US" w:eastAsia="zh-CN"/>
          <w14:textFill>
            <w14:solidFill>
              <w14:schemeClr w14:val="tx1"/>
            </w14:solidFill>
          </w14:textFill>
        </w:rPr>
        <w:t xml:space="preserve">投标申请人必须具有建设行政主管部门核发的市政公用工程施工总承包三级及以上资质且取得省级及以上(含直辖市)颁发的排水设施运行维护企业作业能力证明，并在人员、设备、资金等方面具有相应的施工养护及巡护能力；或投标申请人具有自然资源部门颁发的测绘乙级及以上资质证书（专业范围须包含工程测量）且取得省级及以上(含直辖市)颁发的排水设施运行维护企业作业能力证明，并在人员、设备、资金等方面具有相应的施工养护及巡护能力。</w:t>
      </w:r>
      <w:r>
        <w:rPr>
          <w:rFonts w:hint="eastAsia" w:asciiTheme="minorEastAsia" w:hAnsiTheme="minorEastAsia" w:eastAsiaTheme="minorEastAsia" w:cstheme="minorEastAsia"/>
          <w:b/>
          <w:bCs/>
          <w:color w:val="000000" w:themeColor="text1"/>
          <w:sz w:val="21"/>
          <w:szCs w:val="21"/>
          <w:shd w:val="clear" w:color="auto" w:fill="ffffff"/>
          <w:lang w:val="en-US" w:eastAsia="zh-CN"/>
          <w14:textFill>
            <w14:solidFill>
              <w14:schemeClr w14:val="tx1"/>
            </w14:solidFill>
          </w14:textFill>
        </w:rPr>
        <w:t xml:space="preserve">采购包七、采购包八</w:t>
      </w:r>
      <w:r>
        <w:rPr>
          <w:rFonts w:hint="eastAsia" w:asciiTheme="minorEastAsia" w:hAnsiTheme="minorEastAsia" w:eastAsiaTheme="minorEastAsia" w:cstheme="minorEastAsia"/>
          <w:color w:val="000000" w:themeColor="text1"/>
          <w:sz w:val="21"/>
          <w:szCs w:val="21"/>
          <w:shd w:val="clear" w:color="auto" w:fill="ffffff"/>
          <w:lang w:val="en-US" w:eastAsia="zh-CN"/>
          <w14:textFill>
            <w14:solidFill>
              <w14:schemeClr w14:val="tx1"/>
            </w14:solidFill>
          </w14:textFill>
        </w:rPr>
        <w:t xml:space="preserve">投标申请人必须具有交通安全设施养护资质；并在人员、设备、资金等方面具有相应的施工养护及巡护能力。 </w:t>
      </w:r>
      <w:r/>
    </w:p>
    <w:p>
      <w:pPr>
        <w:ind w:right="0"/>
        <w:jc w:val="left"/>
        <w:keepLines w:val="0"/>
        <w:pageBreakBefore w:val="0"/>
        <w:spacing w:line="360" w:lineRule="auto"/>
        <w:shd w:val="clear" w:color="auto" w:fill="ffffff"/>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三、获取招标文件</w:t>
      </w:r>
      <w:bookmarkEnd w:id="15"/>
      <w:r/>
      <w:bookmarkEnd w:id="16"/>
      <w:r/>
      <w:bookmarkEnd w:id="17"/>
      <w:r/>
      <w:bookmarkEnd w:id="18"/>
      <w:r/>
      <w:bookmarkStart w:id="19" w:name="_Toc28359005"/>
      <w:r/>
      <w:bookmarkStart w:id="20" w:name="_Toc28359082"/>
      <w:r/>
      <w:bookmarkStart w:id="21" w:name="_Toc35393793"/>
      <w:r/>
      <w:bookmarkStart w:id="22" w:name="_Toc35393624"/>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自本公告发布之日起5个工作日</w:t>
      </w:r>
      <w:r/>
    </w:p>
    <w:p>
      <w:pPr>
        <w:ind w:right="0" w:firstLine="420"/>
        <w:jc w:val="left"/>
        <w:keepLines w:val="0"/>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.地点：“苏采云”系统内免费下载（投标人必须在苏采云系统中获取采购文件，方能参与政府采购项目）；</w:t>
      </w:r>
      <w:r/>
    </w:p>
    <w:p>
      <w:pPr>
        <w:ind w:right="0" w:firstLine="420"/>
        <w:jc w:val="left"/>
        <w:keepLines w:val="0"/>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3.方式：本项目采用网上注册登记方式。 </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4.售价：0元</w:t>
      </w:r>
      <w:r/>
    </w:p>
    <w:p>
      <w:pPr>
        <w:ind w:right="0"/>
        <w:jc w:val="left"/>
        <w:keepLines w:val="0"/>
        <w:pageBreakBefore w:val="0"/>
        <w:spacing w:line="360" w:lineRule="auto"/>
        <w:shd w:val="clear" w:color="auto" w:fill="ffffff"/>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四、提交投标文件</w:t>
      </w:r>
      <w:bookmarkEnd w:id="19"/>
      <w:r/>
      <w:bookmarkEnd w:id="20"/>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截止时间、开标时间和地点</w:t>
      </w:r>
      <w:bookmarkEnd w:id="21"/>
      <w:r/>
      <w:bookmarkEnd w:id="22"/>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1、时间</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202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日</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00</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分（北京时间）</w:t>
      </w:r>
      <w:r/>
    </w:p>
    <w:p>
      <w:pPr>
        <w:ind w:right="0" w:firstLine="420"/>
        <w:jc w:val="left"/>
        <w:keepLines w:val="0"/>
        <w:pageBreakBefore w:val="0"/>
        <w:spacing w:line="360" w:lineRule="auto"/>
        <w:shd w:val="clear" w:color="auto" w:fill="ffffff"/>
        <w:widowControl/>
        <w:rPr>
          <w:rFonts w:hint="eastAsia" w:asciiTheme="minorEastAsia" w:hAnsiTheme="minorEastAsia" w:eastAsiaTheme="minorEastAsia" w:cstheme="minorEastAsia"/>
          <w:bCs/>
          <w:color w:val="000000" w:themeColor="text1"/>
          <w:sz w:val="21"/>
          <w:szCs w:val="21"/>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地点：苏采云“不见面”开标大厅 </w:t>
      </w:r>
      <w:r/>
    </w:p>
    <w:p>
      <w:pPr>
        <w:pStyle w:val="685"/>
        <w:ind w:right="0"/>
        <w:jc w:val="left"/>
        <w:keepLines w:val="0"/>
        <w:pageBreakBefore w:val="0"/>
        <w:spacing w:line="360" w:lineRule="auto"/>
        <w:tabs>
          <w:tab w:val="left" w:pos="0" w:leader="none"/>
          <w:tab w:val="left" w:pos="3165" w:leader="none"/>
          <w:tab w:val="center" w:pos="4153" w:leader="none"/>
        </w:tabs>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bookmarkStart w:id="23" w:name="_Toc28359007"/>
      <w:r/>
      <w:bookmarkStart w:id="24" w:name="_Toc35393794"/>
      <w:r/>
      <w:bookmarkStart w:id="25" w:name="_Toc35393625"/>
      <w:r/>
      <w:bookmarkStart w:id="26" w:name="_Toc28359084"/>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五、公告期限</w:t>
      </w:r>
      <w:bookmarkEnd w:id="23"/>
      <w:r/>
      <w:bookmarkEnd w:id="24"/>
      <w:r/>
      <w:bookmarkEnd w:id="25"/>
      <w:r/>
      <w:bookmarkEnd w:id="26"/>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自本公告发布之日起5个工作日。</w:t>
      </w:r>
      <w:r/>
    </w:p>
    <w:p>
      <w:pPr>
        <w:pStyle w:val="685"/>
        <w:ind w:right="0"/>
        <w:jc w:val="left"/>
        <w:keepLines w:val="0"/>
        <w:pageBreakBefore w:val="0"/>
        <w:spacing w:line="360" w:lineRule="auto"/>
        <w:tabs>
          <w:tab w:val="left" w:pos="0" w:leader="none"/>
          <w:tab w:val="left" w:pos="3165" w:leader="none"/>
          <w:tab w:val="center" w:pos="4153" w:leader="none"/>
        </w:tabs>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bookmarkStart w:id="27" w:name="_Toc35393626"/>
      <w:r/>
      <w:bookmarkStart w:id="28" w:name="_Toc35393795"/>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六、其他补充事宜</w:t>
      </w:r>
      <w:bookmarkEnd w:id="27"/>
      <w:r/>
      <w:bookmarkEnd w:id="28"/>
      <w:r/>
      <w:r/>
    </w:p>
    <w:p>
      <w:pPr>
        <w:ind w:right="0" w:firstLine="425"/>
        <w:jc w:val="left"/>
        <w:keepLines w:val="0"/>
        <w:pageBreakBefore w:val="0"/>
        <w:spacing w:line="360" w:lineRule="auto"/>
        <w:shd w:val="clear" w:color="auto" w:fill="ffffff"/>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right="0" w:firstLine="425"/>
        <w:jc w:val="left"/>
        <w:keepLines w:val="0"/>
        <w:pageBreakBefore w:val="0"/>
        <w:spacing w:line="360" w:lineRule="auto"/>
        <w:shd w:val="clear" w:color="auto" w:fill="ffffff"/>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bookmarkStart w:id="29" w:name="_Toc35393796"/>
      <w:r/>
      <w:bookmarkStart w:id="30" w:name="_Toc35393627"/>
      <w:r/>
      <w:bookmarkStart w:id="31" w:name="_Toc28359008"/>
      <w:r/>
      <w:bookmarkStart w:id="32" w:name="_Toc28359085"/>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2.潜在供应商访问电子招标响应交易平台的网络地址和方法： </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 潜在投标人访问“苏采云”系统方法：江苏省政府采购网首页-“苏采云”链接。 </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2.4 采购中心将数据电文形式的采购文件加载至“苏采云”系统，供潜在供应商下载或者查阅。 </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 请潜在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提前安装相应的控件（详见《“苏采云”系统供应商操作手册》）并使用谷歌浏览器登录“苏采云”系统参与不见面开评标。 </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如潜在投标人未按上述要求操作，将自行承担所产生的风险。</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3.有关本次招标的事项若存在变动或修改，敬请及时关注盐城市大丰公共资源交易中心在“中国政府采购网”“江苏政府采购网”“盐城市政府采购网”发布的更正公告。</w:t>
      </w:r>
      <w:r/>
    </w:p>
    <w:p>
      <w:pPr>
        <w:pStyle w:val="707"/>
        <w:ind w:right="0" w:firstLine="420"/>
        <w:jc w:val="both"/>
        <w:keepLines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4.本次招标不收取投标保证金。</w:t>
      </w:r>
      <w:r/>
    </w:p>
    <w:p>
      <w:pPr>
        <w:pStyle w:val="685"/>
        <w:ind w:right="0"/>
        <w:jc w:val="left"/>
        <w:keepLines w:val="0"/>
        <w:pageBreakBefore w:val="0"/>
        <w:spacing w:line="360" w:lineRule="auto"/>
        <w:tabs>
          <w:tab w:val="left" w:pos="0" w:leader="none"/>
          <w:tab w:val="left" w:pos="3165" w:leader="none"/>
          <w:tab w:val="center" w:pos="4153"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七、对本次招标提出询问，请按以下方式联系。</w:t>
      </w:r>
      <w:bookmarkEnd w:id="29"/>
      <w:r/>
      <w:bookmarkEnd w:id="30"/>
      <w:r/>
      <w:bookmarkEnd w:id="31"/>
      <w:r/>
      <w:bookmarkEnd w:id="32"/>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bookmarkStart w:id="33" w:name="_Toc28359019"/>
      <w:r/>
      <w:bookmarkStart w:id="34" w:name="_Toc35393637"/>
      <w:r/>
      <w:bookmarkStart w:id="35" w:name="_Toc35393806"/>
      <w:r/>
      <w:bookmarkStart w:id="36" w:name="_Toc28359096"/>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1.采购人信息</w:t>
      </w:r>
      <w:bookmarkEnd w:id="33"/>
      <w:r/>
      <w:bookmarkEnd w:id="34"/>
      <w:r/>
      <w:bookmarkEnd w:id="35"/>
      <w:r/>
      <w:bookmarkEnd w:id="36"/>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名    称：</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盐城市大丰区住房和城乡建设局</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地    址：</w:t>
      </w:r>
      <w:bookmarkStart w:id="37" w:name="_Hlk130225944"/>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盐城市大丰市区健康</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东</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路</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82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号</w:t>
      </w:r>
      <w:bookmarkEnd w:id="37"/>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联</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系</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赵畐海</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0515-83536938</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bookmarkStart w:id="38" w:name="_Toc120614211"/>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2.采购代理机构信息</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名    称：江苏仁禾中衡工程咨询房地产估价有限公司</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地    址：盐城市大丰区丰尚国际1号楼9楼</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联</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系</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杨胡艳</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18761216296</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3.项目联系方式</w:t>
      </w:r>
      <w:r/>
    </w:p>
    <w:p>
      <w:pPr>
        <w:ind w:right="0" w:firstLine="420"/>
        <w:keepLines w:val="0"/>
        <w:pageBreakBefore w:val="0"/>
        <w:spacing w:line="360" w:lineRule="auto"/>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联</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系</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人：</w:t>
      </w:r>
      <w:r>
        <w:rPr>
          <w:rFonts w:hint="eastAsia" w:asciiTheme="minorEastAsia" w:hAnsiTheme="minorEastAsia" w:eastAsiaTheme="minorEastAsia" w:cstheme="minorEastAsia"/>
          <w:color w:val="000000" w:themeColor="text1"/>
          <w:sz w:val="21"/>
          <w:szCs w:val="21"/>
          <w:lang w:val="zh-CN" w:eastAsia="zh-CN"/>
          <w14:textFill>
            <w14:solidFill>
              <w14:schemeClr w14:val="tx1"/>
            </w14:solidFill>
          </w14:textFill>
        </w:rPr>
        <w:t xml:space="preserve">杨胡艳</w:t>
      </w:r>
      <w:r/>
    </w:p>
    <w:p>
      <w:pPr>
        <w:ind w:right="0" w:firstLine="420"/>
        <w:keepLines w:val="0"/>
        <w:pageBreakBefore w:val="0"/>
        <w:spacing w:line="360" w:lineRule="auto"/>
        <w:rPr>
          <w:rFonts w:hint="eastAsia" w:cs="宋体" w:asciiTheme="majorEastAsia" w:hAnsiTheme="majorEastAsia" w:eastAsiaTheme="maj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18761216296</w:t>
      </w:r>
      <w:r/>
    </w:p>
    <w:p>
      <w:pPr>
        <w:pStyle w:val="685"/>
        <w:ind w:right="0"/>
        <w:jc w:val="center"/>
        <w:keepLines w:val="0"/>
        <w:keepNext/>
        <w:pageBreakBefore w:val="0"/>
        <w:spacing w:line="360" w:lineRule="auto"/>
        <w:widowControl/>
        <w:rPr>
          <w:rFonts w:hint="eastAsia" w:cs="宋体" w:asciiTheme="majorEastAsia" w:hAnsiTheme="majorEastAsia" w:eastAsiaTheme="majorEastAsia"/>
          <w:b/>
          <w:bCs/>
          <w:color w:val="000000" w:themeColor="text1"/>
          <w:sz w:val="36"/>
          <w:szCs w:val="36"/>
          <w:lang w:val="en-US" w:eastAsia="zh-CN" w:bidi="ar-SA"/>
          <w14:textFill>
            <w14:solidFill>
              <w14:schemeClr w14:val="tx1"/>
            </w14:solidFill>
          </w14:textFill>
        </w:rPr>
      </w:pPr>
      <w:r>
        <w:rPr>
          <w:rFonts w:hint="eastAsia" w:cs="宋体" w:asciiTheme="majorEastAsia" w:hAnsiTheme="majorEastAsia" w:eastAsiaTheme="majorEastAsia"/>
          <w:b/>
          <w:bCs/>
          <w:color w:val="000000" w:themeColor="text1"/>
          <w:sz w:val="36"/>
          <w:szCs w:val="36"/>
          <w:lang w:val="en-US" w:eastAsia="zh-CN" w:bidi="ar-SA"/>
          <w14:textFill>
            <w14:solidFill>
              <w14:schemeClr w14:val="tx1"/>
            </w14:solidFill>
          </w14:textFill>
        </w:rPr>
        <w:t xml:space="preserve">第二章</w:t>
      </w:r>
      <w:bookmarkEnd w:id="1"/>
      <w:r/>
      <w:bookmarkEnd w:id="2"/>
      <w:r/>
      <w:bookmarkEnd w:id="3"/>
      <w:r/>
      <w:bookmarkEnd w:id="4"/>
      <w:r/>
      <w:bookmarkEnd w:id="5"/>
      <w:r/>
      <w:bookmarkEnd w:id="38"/>
      <w:r/>
      <w:bookmarkStart w:id="39" w:name="_Toc20823274"/>
      <w:r/>
      <w:bookmarkStart w:id="40" w:name="_Toc120614213"/>
      <w:r/>
      <w:bookmarkStart w:id="41" w:name="_Toc513029202"/>
      <w:r/>
      <w:bookmarkStart w:id="42" w:name="_Toc16938518"/>
      <w:r>
        <w:rPr>
          <w:rFonts w:hint="eastAsia" w:cs="宋体" w:asciiTheme="majorEastAsia" w:hAnsiTheme="majorEastAsia" w:eastAsiaTheme="majorEastAsia"/>
          <w:b/>
          <w:bCs/>
          <w:color w:val="000000" w:themeColor="text1"/>
          <w:sz w:val="36"/>
          <w:szCs w:val="36"/>
          <w:lang w:val="en-US" w:eastAsia="zh-CN" w:bidi="ar-SA"/>
          <w14:textFill>
            <w14:solidFill>
              <w14:schemeClr w14:val="tx1"/>
            </w14:solidFill>
          </w14:textFill>
        </w:rPr>
        <w:t xml:space="preserve">  投标人须知</w:t>
      </w:r>
      <w:bookmarkEnd w:id="39"/>
      <w:r/>
      <w:bookmarkEnd w:id="40"/>
      <w:r/>
      <w:bookmarkEnd w:id="41"/>
      <w:r/>
      <w:bookmarkEnd w:id="42"/>
      <w:r/>
      <w:r/>
    </w:p>
    <w:p>
      <w:pPr>
        <w:pStyle w:val="688"/>
        <w:ind w:left="0" w:right="0" w:firstLine="422"/>
        <w:keepLines w:val="0"/>
        <w:keepNext/>
        <w:pageBreakBefore w:val="0"/>
        <w:spacing w:before="0" w:after="0"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bookmarkStart w:id="43" w:name="_Toc513029203"/>
      <w:r/>
      <w:bookmarkStart w:id="44" w:name="_Toc16938519"/>
      <w:r/>
      <w:bookmarkStart w:id="45" w:name="_Toc20823275"/>
      <w:r/>
      <w:bookmarkStart w:id="46" w:name="_Toc120614214"/>
      <w:r/>
      <w:bookmarkStart w:id="47" w:name="_Hlk130228081"/>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一、总则</w:t>
      </w:r>
      <w:bookmarkEnd w:id="43"/>
      <w:r/>
      <w:bookmarkEnd w:id="44"/>
      <w:r/>
      <w:bookmarkEnd w:id="45"/>
      <w:r/>
      <w:bookmarkEnd w:id="46"/>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bookmarkStart w:id="48" w:name="_Hlt16619475"/>
      <w:r/>
      <w:bookmarkEnd w:id="48"/>
      <w:r/>
      <w:bookmarkStart w:id="49" w:name="_Toc458694821"/>
      <w:r/>
      <w:bookmarkStart w:id="50" w:name="_Toc16938520"/>
      <w:r/>
      <w:bookmarkStart w:id="51" w:name="_Toc513029204"/>
      <w:r/>
      <w:bookmarkStart w:id="52" w:name="_Toc20823276"/>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1</w:t>
      </w:r>
      <w:bookmarkEnd w:id="49"/>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、招标方式</w:t>
      </w:r>
      <w:bookmarkEnd w:id="50"/>
      <w:r/>
      <w:bookmarkEnd w:id="51"/>
      <w:r/>
      <w:bookmarkEnd w:id="52"/>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1.1 本次招标采取公开招标方式，本招标文件仅适用于招标公告中所述项目。</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bookmarkStart w:id="53" w:name="_Toc20823277"/>
      <w:r/>
      <w:bookmarkStart w:id="54" w:name="_Toc513029205"/>
      <w:r/>
      <w:bookmarkStart w:id="55" w:name="_Toc16938521"/>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2、合格的投标人</w:t>
      </w:r>
      <w:bookmarkEnd w:id="53"/>
      <w:r/>
      <w:bookmarkEnd w:id="54"/>
      <w:r/>
      <w:bookmarkEnd w:id="55"/>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2.1满足招标公告中供应商的资格要求的规定。</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2.2 满足本文件实质性条款的规定。</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bookmarkStart w:id="56" w:name="_Toc16938522"/>
      <w:r/>
      <w:bookmarkStart w:id="57" w:name="_Toc513029206"/>
      <w:r/>
      <w:bookmarkStart w:id="58" w:name="_Toc20823278"/>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3、适用法律</w:t>
      </w:r>
      <w:bookmarkEnd w:id="56"/>
      <w:r/>
      <w:bookmarkEnd w:id="57"/>
      <w:r/>
      <w:bookmarkEnd w:id="58"/>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3.1 本次招标及由此产生的合同受中华人民共和国有关的法律法规制约和保护。</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bookmarkStart w:id="59" w:name="_Toc462564067"/>
      <w:r/>
      <w:bookmarkStart w:id="60" w:name="_Toc16938523"/>
      <w:r/>
      <w:bookmarkStart w:id="61" w:name="_Toc20823279"/>
      <w:r/>
      <w:bookmarkStart w:id="62" w:name="_Toc513029207"/>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4、投标费用</w:t>
      </w:r>
      <w:bookmarkEnd w:id="59"/>
      <w:r/>
      <w:bookmarkEnd w:id="60"/>
      <w:r/>
      <w:bookmarkEnd w:id="61"/>
      <w:r/>
      <w:bookmarkEnd w:id="62"/>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4.1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投标人应自行承担所有与参加投标有关的费用，无论投标过程中的做法和结果如何，采购人在任何情况下均无义务和责任承担这些费用。</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4.2本次招标采购人不收取标书工本费。</w:t>
      </w:r>
      <w:r/>
    </w:p>
    <w:p>
      <w:pPr>
        <w:pStyle w:val="688"/>
        <w:ind w:left="0" w:right="0" w:firstLine="422"/>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招标文件的约束力</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5.1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投标人一旦参加本项目采购活动，即被认为接受了本招标文件的规定和约束，并且视为自招标公告期限届满之日起知道或应当知道自身权益是否受到了损害。</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bookmarkStart w:id="63" w:name="_Toc513029209"/>
      <w:r/>
      <w:bookmarkStart w:id="64" w:name="_Toc120614215"/>
      <w:r/>
      <w:bookmarkStart w:id="65" w:name="_Toc20823281"/>
      <w:r/>
      <w:bookmarkStart w:id="66" w:name="_Toc16938525"/>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二、招标文件</w:t>
      </w:r>
      <w:bookmarkEnd w:id="63"/>
      <w:r/>
      <w:bookmarkEnd w:id="64"/>
      <w:r/>
      <w:bookmarkEnd w:id="65"/>
      <w:r/>
      <w:bookmarkEnd w:id="66"/>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bookmarkStart w:id="67" w:name="_Toc16938526"/>
      <w:r/>
      <w:bookmarkStart w:id="68" w:name="_Toc20823282"/>
      <w:r/>
      <w:bookmarkStart w:id="69" w:name="_Toc513029210"/>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、招标文件构成</w:t>
      </w:r>
      <w:bookmarkEnd w:id="67"/>
      <w:r/>
      <w:bookmarkEnd w:id="68"/>
      <w:r/>
      <w:bookmarkEnd w:id="69"/>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招标文件有以下部分组成：</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（1）招标公告</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（2）投标人须知</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（3）合同</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文本</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（4）采购需求</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（5）评标方法与评标标准</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（6）投标文件格式</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相关附件</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请仔细检查招标文件是否齐全，如有缺漏请立即与采购人联系解决。</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lang w:eastAsia="zh-CN"/>
          <w14:textFill>
            <w14:solidFill>
              <w14:schemeClr w14:val="tx1"/>
            </w14:solidFill>
          </w14:textFill>
        </w:rPr>
      </w:pPr>
      <w:r/>
      <w:bookmarkStart w:id="70" w:name="_Toc16938527"/>
      <w:r/>
      <w:bookmarkStart w:id="71" w:name="_Toc20823283"/>
      <w:r/>
      <w:bookmarkStart w:id="72" w:name="_Toc513029211"/>
      <w:r/>
      <w:bookmarkStart w:id="73" w:name="_Toc462564070"/>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7</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、招标文件的</w:t>
      </w:r>
      <w:bookmarkEnd w:id="70"/>
      <w:r/>
      <w:bookmarkEnd w:id="71"/>
      <w:r/>
      <w:bookmarkEnd w:id="72"/>
      <w:r/>
      <w:bookmarkEnd w:id="73"/>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澄清</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 任何要求对招标文件进行澄清的投标人，应在投标截止期十日前按招标公告中的通讯地址，以书面形式通知采购人。</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bookmarkStart w:id="74" w:name="_Toc16938528"/>
      <w:r/>
      <w:bookmarkStart w:id="75" w:name="_Toc513029212"/>
      <w:r/>
      <w:bookmarkStart w:id="76" w:name="_Toc462564071"/>
      <w:r/>
      <w:bookmarkStart w:id="77" w:name="_Toc20823284"/>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8</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、招标文件的修改</w:t>
      </w:r>
      <w:bookmarkEnd w:id="74"/>
      <w:r/>
      <w:bookmarkEnd w:id="75"/>
      <w:r/>
      <w:bookmarkEnd w:id="76"/>
      <w:r/>
      <w:bookmarkEnd w:id="77"/>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在投标截止时间前，采购人可以对招标文件进行修改。</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采购人有权依法推迟投标截止日期和开标日期。</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.3</w:t>
      </w:r>
      <w:bookmarkStart w:id="78" w:name="_Toc16938529"/>
      <w:r/>
      <w:bookmarkStart w:id="79" w:name="_Toc120614216"/>
      <w:r/>
      <w:bookmarkStart w:id="80" w:name="_Toc20823285"/>
      <w:r/>
      <w:bookmarkStart w:id="81" w:name="_Toc513029213"/>
      <w:r/>
      <w:bookmarkStart w:id="82" w:name="_Toc462564072"/>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招标文件的修改将在中国政府采购网、江苏政府采购网、盐城市政府采购网公布，补充文件将作为招标文件的组成部分，并对投标人具有约束力。</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三、投标文件的编制</w:t>
      </w:r>
      <w:bookmarkEnd w:id="78"/>
      <w:r/>
      <w:bookmarkEnd w:id="79"/>
      <w:r/>
      <w:bookmarkEnd w:id="80"/>
      <w:r/>
      <w:bookmarkEnd w:id="81"/>
      <w:r/>
      <w:bookmarkEnd w:id="82"/>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Cs w:val="0"/>
          <w:color w:val="000000" w:themeColor="text1"/>
          <w:sz w:val="21"/>
          <w:szCs w:val="21"/>
          <w14:textFill>
            <w14:solidFill>
              <w14:schemeClr w14:val="tx1"/>
            </w14:solidFill>
          </w14:textFill>
        </w:rPr>
      </w:pPr>
      <w:r/>
      <w:bookmarkStart w:id="83" w:name="_Toc16938530"/>
      <w:r/>
      <w:bookmarkStart w:id="84" w:name="_Toc462564073"/>
      <w:r/>
      <w:bookmarkStart w:id="85" w:name="_Toc513029214"/>
      <w:r/>
      <w:bookmarkStart w:id="86" w:name="_Toc20823286"/>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9</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、投标文件的语言及度量衡单位</w:t>
      </w:r>
      <w:bookmarkEnd w:id="83"/>
      <w:r/>
      <w:bookmarkEnd w:id="84"/>
      <w:r/>
      <w:bookmarkEnd w:id="85"/>
      <w:r/>
      <w:bookmarkEnd w:id="86"/>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9</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投标人提交的投标文件以及投标人与采购人就有关投标的所有来往通知、函件和文件均应使用简体中文。</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9</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除技术性能另有规定外，投标文件所使用的度量衡单位，均须采用国家法定计量单位。</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bookmarkStart w:id="87" w:name="_Toc462564074"/>
      <w:r/>
      <w:bookmarkStart w:id="88" w:name="_Toc16938531"/>
      <w:r/>
      <w:bookmarkStart w:id="89" w:name="_Toc20823287"/>
      <w:r/>
      <w:bookmarkStart w:id="90" w:name="_Toc513029215"/>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0</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、投标文件构成</w:t>
      </w:r>
      <w:bookmarkEnd w:id="87"/>
      <w:r/>
      <w:bookmarkEnd w:id="88"/>
      <w:r/>
      <w:bookmarkEnd w:id="89"/>
      <w:r/>
      <w:bookmarkEnd w:id="90"/>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0</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pPr>
      <w:r/>
      <w:bookmarkStart w:id="91" w:name="_Hlt26668975"/>
      <w:r/>
      <w:bookmarkEnd w:id="91"/>
      <w:r/>
      <w:bookmarkStart w:id="92" w:name="_Hlt26954838"/>
      <w:r/>
      <w:bookmarkEnd w:id="92"/>
      <w:r/>
      <w:bookmarkStart w:id="93" w:name="_Hlt26670360"/>
      <w:r/>
      <w:bookmarkEnd w:id="93"/>
      <w:r/>
      <w:bookmarkStart w:id="94" w:name="_Toc513029219"/>
      <w:r/>
      <w:bookmarkStart w:id="95" w:name="_Toc49090509"/>
      <w:r/>
      <w:bookmarkStart w:id="96" w:name="_Toc14577357"/>
      <w:r/>
      <w:bookmarkStart w:id="97" w:name="_Toc49090507"/>
      <w:r/>
      <w:bookmarkStart w:id="98" w:name="_Toc14577354"/>
      <w:r/>
      <w:bookmarkStart w:id="99" w:name="_Toc513029216"/>
      <w:r>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t xml:space="preserve">11、证明投标人及投标标的符合招标文件规定的文件</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t xml:space="preserve">11.1 投标人应按照招标文件要求提交证明文件，证明其及投标标的符合招标文件规定。</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t xml:space="preserve">11.2招标文件对证明文件无明确形式要求的，证明文件可以以文字资料、图纸和数据等形式提交。</w:t>
      </w:r>
      <w:r/>
    </w:p>
    <w:p>
      <w:pPr>
        <w:pStyle w:val="688"/>
        <w:numPr>
          <w:ilvl w:val="0"/>
          <w:numId w:val="0"/>
        </w:numPr>
        <w:ind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t xml:space="preserve">12、投标分项报价表</w:t>
      </w:r>
      <w:r/>
    </w:p>
    <w:p>
      <w:pPr>
        <w:pStyle w:val="688"/>
        <w:numPr>
          <w:ilvl w:val="0"/>
          <w:numId w:val="0"/>
        </w:numPr>
        <w:ind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本项目采用全费用综合单价报价， </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投标报价包括</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但不限于为</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完成本项目</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整个服务期</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所必须的全部货物和服务的价格、标准附件、备品备件、专用工具、安全生产费及相关费用、</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巡查费、管网排查、管网测绘、管网竣工图及报告、</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人员工资、加班费、工作人员差旅费、各项福利、保险</w:t>
      </w:r>
      <w:r>
        <w:rPr>
          <w:rFonts w:hint="eastAsia" w:asciiTheme="minorEastAsia" w:hAnsiTheme="minorEastAsia" w:eastAsiaTheme="minorEastAsia" w:cstheme="minorEastAsia"/>
          <w:b w:val="0"/>
          <w:bCs w:val="0"/>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含一切险</w:t>
      </w:r>
      <w:r>
        <w:rPr>
          <w:rFonts w:hint="eastAsia" w:asciiTheme="minorEastAsia" w:hAnsiTheme="minorEastAsia" w:eastAsiaTheme="minorEastAsia" w:cstheme="minorEastAsia"/>
          <w:b w:val="0"/>
          <w:bCs w:val="0"/>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餐费、员工补助、工作人员必要的住宿费、办公费、采购及安装、材料二次搬运、检测费（含现场抽检费用及抽检不合格的更换至合格为止的所有费用）、保修、验收、售后服务以及投标人为完成本招标项目所必须的费用、企业管理费、利润、税收（含关税）、风险费、垃圾清运、环境保护、特殊条件施工</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增加费用、现场施工围栏、成品保护、开办费、辅助材料费、工程完工后临时设施的拆除与清理及现场恢复费用、本招标文件规定的为完成项目验收所需的企业检验试验费用、资金成本、不可预见费（应充分考虑所有风险、责任等）及政策性文件规定等为完成本项目交付采购人使用所需的全部费用的价格体现。投标所报单价为最终结算单价，因特殊原因并经买卖双方协商同意，投标人不得再要求追加任何费用。同时，除非合同条款中另有规定，否则，投标单位所报单价在合同实施期间不因市场变化因素而变动。招标文件未列明，而投标人认为必需的费用自行综合考虑到报价。</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t xml:space="preserve">12.1 投标人应按照招标文件规定格式填报投标分项报价表。</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12、证明投标人资格及符合招标文件规定的文件</w:t>
      </w:r>
      <w:bookmarkEnd w:id="94"/>
      <w:r/>
      <w:bookmarkEnd w:id="95"/>
      <w:r/>
      <w:bookmarkEnd w:id="96"/>
      <w:r/>
      <w:bookmarkEnd w:id="97"/>
      <w:bookmarkEnd w:id="98"/>
      <w:bookmarkEnd w:id="99"/>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bookmarkStart w:id="100" w:name="_Toc49090511"/>
      <w:r/>
      <w:bookmarkStart w:id="101" w:name="_Toc14577360"/>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13、技术要求响应及偏离表、商务要求响应及偏离表</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13.1投标人需对招标文件中的技术要求与商务要求逐项作出响应或偏离，并说明原因。</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13.2 投标人可在投标文件中提供认为需要的其他技术文件或说明。</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14、服务承诺、培训计划、人员安排及其他</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14.2 投标人需根据招标文件要求提供培训计划。</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14.3投标人需根据招标文件要求提供所投标的的主要组成部分、功能设计、实现思路及关键技术等。</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15、投标函和开标一览表</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 投标人应按照招标文件中提供的格式完整、正确填写投标函、开标一览表。</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 xml:space="preserve">.2 对于采用货币报价的项目，开标一览表中的投标总报价应与投标分项报价表中的投标总报价一致，如不一致，不作为无效投标处理，但评标时按开标一览表中价格为准。</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、投标有效期</w:t>
      </w:r>
      <w:bookmarkEnd w:id="100"/>
      <w:r/>
      <w:bookmarkEnd w:id="101"/>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 投标有效期为开标之日后</w:t>
      </w:r>
      <w:r>
        <w:rPr>
          <w:rFonts w:hint="eastAsia" w:asciiTheme="minorEastAsia" w:hAnsiTheme="minorEastAsia" w:eastAsiaTheme="minorEastAsia" w:cstheme="minorEastAsia"/>
          <w:b/>
          <w:color w:val="000000" w:themeColor="text1"/>
          <w:sz w:val="21"/>
          <w:szCs w:val="21"/>
          <w:u w:val="single"/>
          <w14:textFill>
            <w14:solidFill>
              <w14:schemeClr w14:val="tx1"/>
            </w14:solidFill>
          </w14:textFill>
        </w:rPr>
        <w:t xml:space="preserve">六十（60）天</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。投标有效期比规定短的将被视为非响应性投标而予以拒绝。</w:t>
      </w:r>
      <w:bookmarkStart w:id="102" w:name="_Hlt26954739"/>
      <w:r/>
      <w:bookmarkEnd w:id="102"/>
      <w:r/>
      <w:bookmarkStart w:id="103" w:name="_Hlt26954852"/>
      <w:r/>
      <w:bookmarkEnd w:id="103"/>
      <w:r/>
      <w:bookmarkStart w:id="104" w:name="_Toc20823296"/>
      <w:r/>
      <w:bookmarkStart w:id="105" w:name="_Toc16938540"/>
      <w:r/>
      <w:bookmarkStart w:id="106" w:name="_Toc513029224"/>
      <w:r/>
      <w:bookmarkStart w:id="107" w:name="_Toc120614217"/>
      <w:r/>
      <w:r/>
    </w:p>
    <w:p>
      <w:pPr>
        <w:ind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17、投标有效期的延长</w:t>
      </w:r>
      <w:r/>
    </w:p>
    <w:p>
      <w:pPr>
        <w:ind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四、投标文件的递交</w:t>
      </w:r>
      <w:bookmarkEnd w:id="104"/>
      <w:r/>
      <w:bookmarkEnd w:id="105"/>
      <w:r/>
      <w:bookmarkEnd w:id="106"/>
      <w:r/>
      <w:bookmarkEnd w:id="107"/>
      <w:r/>
      <w:bookmarkStart w:id="108" w:name="_Toc462564084"/>
      <w:r/>
      <w:bookmarkStart w:id="109" w:name="_Toc20823297"/>
      <w:r/>
      <w:bookmarkStart w:id="110" w:name="_Toc16938541"/>
      <w:r/>
      <w:bookmarkStart w:id="111" w:name="_Toc513029225"/>
      <w:r/>
      <w:r/>
    </w:p>
    <w:p>
      <w:pPr>
        <w:ind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8</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w:t>
      </w:r>
      <w:bookmarkEnd w:id="108"/>
      <w:r/>
      <w:bookmarkEnd w:id="109"/>
      <w:r/>
      <w:bookmarkEnd w:id="110"/>
      <w:r/>
      <w:bookmarkEnd w:id="111"/>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电子投标文件的递交</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8</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.1电子投标文件的递交</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投标人应当按照《操作手册》规定，在投标截止时间前制作并上传电子投标文件。</w:t>
      </w:r>
      <w:bookmarkStart w:id="112" w:name="_Toc513029226"/>
      <w:r/>
      <w:bookmarkStart w:id="113" w:name="_Toc16938542"/>
      <w:r/>
      <w:bookmarkStart w:id="114" w:name="_Toc20823298"/>
      <w:r/>
      <w:r/>
    </w:p>
    <w:p>
      <w:pPr>
        <w:ind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19</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、投标截止日期</w:t>
      </w:r>
      <w:bookmarkEnd w:id="112"/>
      <w:r/>
      <w:bookmarkEnd w:id="113"/>
      <w:r/>
      <w:bookmarkEnd w:id="114"/>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19</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投标人上传电子投标文件的时间不得迟于招标公告中规定的投标截止时间。</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19</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 采购人可以按照规定，通过修改招标文件酌情延长投标截止日期，在此情况下，投标人的所有权利和义务以及投标人受制的截止日期均应以延长后新的截止日期为准。</w:t>
      </w:r>
      <w:bookmarkStart w:id="115" w:name="_Toc513029228"/>
      <w:r/>
      <w:bookmarkStart w:id="116" w:name="_Toc20823300"/>
      <w:r/>
      <w:bookmarkStart w:id="117" w:name="_Toc16938544"/>
      <w:r/>
      <w:r/>
    </w:p>
    <w:p>
      <w:pPr>
        <w:ind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20、投标文件的拒收</w:t>
      </w:r>
      <w:r/>
    </w:p>
    <w:p>
      <w:pPr>
        <w:ind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20.1 采购中心拒绝接收在其规定的投标截止时间后上传的任何投标文件。</w:t>
      </w:r>
      <w:r/>
    </w:p>
    <w:p>
      <w:pPr>
        <w:ind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、投标文件的修改和撤回</w:t>
      </w:r>
      <w:bookmarkEnd w:id="115"/>
      <w:r/>
      <w:bookmarkEnd w:id="116"/>
      <w:r/>
      <w:bookmarkEnd w:id="117"/>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投标文件的撤回</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.1.1电子投标文件的撤回</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投标人可在投标截止时间前，撤回其电子投标文件，具体操作方法见《操作手册》。</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.1.2投标人撤回电子投标文件，则认为其不再参与本项目投标活动。</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 投标文件的修改</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21.2.1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投标人可在投标截止时间前，对其电子投标文件进行修改，具体操作方法见《操作手册》。</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21.2.2</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在投标截止时间之后，投标人不得对其电子投标文件作任何修改。</w:t>
      </w:r>
      <w:r/>
    </w:p>
    <w:p>
      <w:pPr>
        <w:ind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2.3</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 在投标截止时间至招标文件中规定的投标有效期满之间的这段时间内，投标人不得撤回其投标。</w:t>
      </w:r>
      <w:bookmarkStart w:id="118" w:name="_Toc513029229"/>
      <w:r/>
      <w:bookmarkStart w:id="119" w:name="_Toc120614218"/>
      <w:r/>
      <w:bookmarkStart w:id="120" w:name="_Toc20823301"/>
      <w:r/>
      <w:bookmarkStart w:id="121" w:name="_Toc16938545"/>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五、开标与评标</w:t>
      </w:r>
      <w:bookmarkEnd w:id="118"/>
      <w:r/>
      <w:bookmarkEnd w:id="119"/>
      <w:r/>
      <w:bookmarkEnd w:id="120"/>
      <w:r/>
      <w:bookmarkEnd w:id="121"/>
      <w:r/>
      <w:bookmarkStart w:id="122" w:name="_Toc16938546"/>
      <w:r/>
      <w:bookmarkStart w:id="123" w:name="_Toc20823302"/>
      <w:r/>
      <w:bookmarkStart w:id="124" w:name="_Toc513029230"/>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、开标</w:t>
      </w:r>
      <w:bookmarkEnd w:id="122"/>
      <w:r/>
      <w:bookmarkEnd w:id="123"/>
      <w:r/>
      <w:bookmarkEnd w:id="124"/>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14:textFill>
            <w14:solidFill>
              <w14:schemeClr w14:val="tx1"/>
            </w14:solidFill>
          </w14:textFill>
        </w:rPr>
        <w:t xml:space="preserve"> 采购中心将在招标公告中规定的时间和地点组织公开开标</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。投标人应当按照《操作手册》规定，参加开标活动和在苏采云系统规定的时间内对投标文件进行解密。</w:t>
      </w:r>
      <w:bookmarkStart w:id="125" w:name="_Toc16938547"/>
      <w:r/>
      <w:bookmarkStart w:id="126" w:name="_Toc513029231"/>
      <w:r/>
      <w:bookmarkStart w:id="127" w:name="_Toc20823303"/>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.2开标仪式由采购人组织。苏采云系统将自动对项目进行开标，并宣布各投标人名称和投标价格。</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 投标人在开标过程中涉及到的投标文件解密、开标结果确认等工作，应按照《操作手册》规定执行。</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 投标人如果对开标过程和开标记录有疑义，应当根据《操作手册》规定提出，如苏采云系统中《开标记录表》宣布后5分钟内未提出的，视同认可开标结果。</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、评标委员会</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stheme="minorEastAsia"/>
          <w:b/>
          <w:color w:val="000000" w:themeColor="text1"/>
          <w:sz w:val="21"/>
          <w:szCs w:val="21"/>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资格审查通过后，采购人将组织评标委员会（以下简称评委会）进行评标。</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 评委会由采购人代表和有关技术、经济等方面的专家组成，且人员构成符合政府采购有关规定。</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.3评委会独立工作，负责评审所有投标文件并确定中标侯选人。</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24、</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评标过程的保密与</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公正</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24.1凡是与审查、澄清、评价和比较投标的有关资料以及授标建议等，采购人、评委、采购中心均不得向投标人或与评标无关的其他人员透露。</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24.2在评标过程中，投标人不得以任何行为影响评标过程，否则其投标文件将被作为无效投标文件。</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24.3 采购中心和评标委员会不向未中标的投标人解释未中标原因，也不公布评标过程中的相关细节。</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24.4 采用综合评分法的项目，未中标的投标人可于中标结果公告期限届满之日起通过苏采云系统查看自己的评审得分及排序情况。</w:t>
      </w:r>
      <w:bookmarkEnd w:id="125"/>
      <w:r/>
      <w:bookmarkEnd w:id="126"/>
      <w:r/>
      <w:bookmarkEnd w:id="127"/>
      <w:r/>
      <w:bookmarkStart w:id="128" w:name="_Toc20823304"/>
      <w:r/>
      <w:bookmarkStart w:id="129" w:name="_Toc16938548"/>
      <w:r/>
      <w:bookmarkStart w:id="130" w:name="_Toc513029232"/>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、投标</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文件</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的澄清</w:t>
      </w:r>
      <w:bookmarkEnd w:id="128"/>
      <w:r/>
      <w:bookmarkEnd w:id="129"/>
      <w:r/>
      <w:bookmarkEnd w:id="130"/>
      <w:r/>
      <w:bookmarkStart w:id="131" w:name="_Toc20823305"/>
      <w:r/>
      <w:bookmarkStart w:id="132" w:name="_Toc513029233"/>
      <w:r/>
      <w:bookmarkStart w:id="133" w:name="_Toc16938549"/>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投标人的澄清、说明或者补正不得超出投标文件的范围或者改变投标文件的实质性内容。</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评标委员会并非对每个投标人都做澄清要求。</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25.3 接到评委会澄清、说明和补正要求的投标人如未按规定做出澄清、说明和补正，其风险由投标人自行承担。</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、对投标文件的</w:t>
      </w:r>
      <w:r>
        <w:rPr>
          <w:rFonts w:hint="eastAsia" w:asciiTheme="minorEastAsia" w:hAnsiTheme="minorEastAsia" w:eastAsiaTheme="minorEastAsia" w:cstheme="minorEastAsia"/>
          <w:b w:val="0"/>
          <w:bCs w:val="0"/>
          <w:color w:val="000000" w:themeColor="text1"/>
          <w:sz w:val="21"/>
          <w:szCs w:val="21"/>
          <w:lang w:val="en-US" w:eastAsia="zh-CN"/>
          <w14:textFill>
            <w14:solidFill>
              <w14:schemeClr w14:val="tx1"/>
            </w14:solidFill>
          </w14:textFill>
        </w:rPr>
        <w:t xml:space="preserve">初</w:t>
      </w: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审</w:t>
      </w:r>
      <w:bookmarkEnd w:id="131"/>
      <w:r/>
      <w:bookmarkEnd w:id="132"/>
      <w:r/>
      <w:bookmarkEnd w:id="133"/>
      <w:r/>
      <w:bookmarkStart w:id="134" w:name="_Toc16938550"/>
      <w:r/>
      <w:bookmarkStart w:id="135" w:name="_Toc513029234"/>
      <w:r/>
      <w:bookmarkStart w:id="136" w:name="_Toc20823306"/>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26.1投标文件初审分为资格审查和符合性审查。</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26.1.2 符合性审查：依据招标文件的规定，由评委会从投标文件的有效性、完整性和对招标文件的响应程度进行审查，以确定是否对招标文件的实质性要求作出响应。</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（1）投标文件中开标一览表内容与投标文件中相应内容不一致的，以开标一览表为准。</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（2）大写金额和小写金额不一致的，以大写金额为准。</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（3）单价金额小数点或者百分比有明显错位的，以开标一览表的总价为准，并修改单价。</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（4）总价金额与按单价汇总金额不一致的，以单价金额计算结果为准。</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同时出现两种以上错误的，按照前款规定的顺序修正。</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非单一产品采购项目，招标文件中将载明其中的核心产品。多家投标人提供的核心产品品牌相同的，按前两款规定处理。</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26.7投标人在开、评标全过程中应保持通讯畅通，及时登录苏采云系统查阅、答复相关信息，并安排专人与采购中心及评标委员会联系。</w:t>
      </w:r>
      <w:bookmarkEnd w:id="134"/>
      <w:bookmarkEnd w:id="135"/>
      <w:bookmarkEnd w:id="136"/>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bookmarkStart w:id="137" w:name="_Toc16938551"/>
      <w:r/>
      <w:bookmarkStart w:id="138" w:name="_Toc513029235"/>
      <w:r/>
      <w:bookmarkStart w:id="139" w:name="_Toc20823307"/>
      <w:r/>
      <w:bookmarkStart w:id="140" w:name="_Toc120614219"/>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27、无效投标条款和废标条款</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27.1无效投标条款</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27.1.1 投标人在苏采云系统规定的时间内未成功解密电子投标文件的。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27.1.2 投标人未按照招标文件要求上传电子投标文件的。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27.1.3同一投标人提交两个（含两个）以上不同的投标报价的。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27.1.4投标人不具备招标文件中规定资格要求的。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27.1.5投标人的报价超过了采购预算或最高限价的。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27.1.6未通过符合性审查的。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27.1.7不符合招标文件中规定的实质性要求和条件的（本招标文件中斜体且有下划线部分为实质性要求和条件）。</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27.1.9投标文件含有采购人不能接受的附加条件的。</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27.1.10投标人不能证明其报价合理性的，评标委员会应当将其作为无效投标处理。</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（一）评审过程中出现下列情形之一的，评标委员会应当启动异常低价投标审查程序：</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1.投标报价低于采购项目预算50%的，即投标报价&lt;采购项目预算×50%；</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2.投标报价低于采购项目最高限价45%的，即投标报价&lt;采购项目最高限价×45%；</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3.评标委员会认定的供应商报价过低、有可能影响产品质量或者不能诚信履约的其他情形。</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27.1.12 投标文件未按照招标文件要求加盖CA电子公章的。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27.1.13其他法律、法规及本招标文件规定的属无效投标的情形。</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27.2废标条款</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27.2.1符合专业条件的供应商或者对招标文件作实质响应的供应商不足三家的。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27.2.2出现影响采购公正的违法、违规行为的。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27.2.3因重大变故，采购任务取消的。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27.2.4评标委员会认定招标文件存在歧义、重大缺陷导致评审工作无法进行。</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27.2.5 因苏采云系统系统故障原因造成开标不成功的。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27.3 投标截止时间结束后参加投标的供应商不足三家的处理：</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六、</w:t>
      </w:r>
      <w:bookmarkEnd w:id="137"/>
      <w:r/>
      <w:bookmarkEnd w:id="138"/>
      <w:r/>
      <w:bookmarkEnd w:id="139"/>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定标</w:t>
      </w:r>
      <w:bookmarkEnd w:id="140"/>
      <w:r/>
      <w:bookmarkStart w:id="141" w:name="_Toc513029238"/>
      <w:r/>
      <w:bookmarkStart w:id="142" w:name="_Toc16938554"/>
      <w:r/>
      <w:bookmarkStart w:id="143" w:name="_Toc20823310"/>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lang w:val="en-US" w:eastAsia="zh-CN"/>
          <w14:textFill>
            <w14:solidFill>
              <w14:schemeClr w14:val="tx1"/>
            </w14:solidFill>
          </w14:textFill>
        </w:rPr>
        <w:t xml:space="preserve">28</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w:t>
      </w:r>
      <w:bookmarkEnd w:id="141"/>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确定</w:t>
      </w:r>
      <w:bookmarkEnd w:id="142"/>
      <w:r/>
      <w:bookmarkEnd w:id="143"/>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中标单位</w:t>
      </w:r>
      <w:bookmarkStart w:id="144" w:name="_Toc200451960"/>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28.1中标候选人的选取原则和数量见招标文件第五章规定。 </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28.2 采购人应根据评委会推荐的中标候选人确定中标人。</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28.3 采购中心将在中国政府采购网”、“江苏政府采购网”、“盐城市政府采购网”发布中标公告，公告期限为1个工作日。</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28.4若有充分证据证明，中标人出现下列情况之一的，一经查实，将被取消中标资格：</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28.4.1提供虚假材料谋取中标的。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28.4.2向采购人、采购中心行贿或者提供其他不正当利益的。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28.4.3属于本文件规定的无效条件，但在评标过程中又未被评委会发现的。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28.4.4与采购人或者其他供应商恶意串通的。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28.4.5采取不正当手段诋毁、排挤其他供应商的。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28.5.有下列情形之一的，视为投标人串通投标，投标无效：</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28.5.1不同投标人的投标文件由同一单位或者个人编制；</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28.5.2不同投标人委托同一单位或者个人办理投标事宜；</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28.5.3 不同投标人的投标文件载明的项目管理成员或者联系人员为同一人；</w:t>
      </w:r>
      <w:r/>
    </w:p>
    <w:p>
      <w:pPr>
        <w:ind w:left="0" w:right="0" w:firstLine="420"/>
        <w:keepLines w:val="0"/>
        <w:keepNext/>
        <w:pageBreakBefore w:val="0"/>
        <w:spacing w:line="360" w:lineRule="auto"/>
        <w:widowControl/>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lang w:val="en-US" w:eastAsia="zh-CN"/>
          <w14:textFill>
            <w14:solidFill>
              <w14:schemeClr w14:val="tx1"/>
            </w14:solidFill>
          </w14:textFill>
        </w:rPr>
        <w:t xml:space="preserve">28.5.4不同投标人的投标文件异常一致或者投标报价呈规律性差异；</w:t>
      </w:r>
      <w:r/>
    </w:p>
    <w:p>
      <w:pPr>
        <w:numPr>
          <w:ilvl w:val="0"/>
          <w:numId w:val="0"/>
        </w:numPr>
        <w:ind w:right="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lang w:val="en-US" w:eastAsia="zh-CN"/>
          <w14:textFill>
            <w14:solidFill>
              <w14:schemeClr w14:val="tx1"/>
            </w14:solidFill>
          </w14:textFill>
        </w:rPr>
        <w:t xml:space="preserve">29、</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质疑处理</w:t>
      </w:r>
      <w:bookmarkEnd w:id="144"/>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29.2.1对可以质疑的采购文件提出质疑的，为收到采购文件之日或者采购文件公告期限届满之日；</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29.2.2对采购过程提出质疑的，为各采购程序环节结束之日；</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29.2.3对中标或者成交结果提出质疑的，为中标或者成交结果公告期限届满之日。供应商应当在法定质疑期内一次性提出针对同一采购程序环节的质疑。供应商如在法定期限内对同一采购程序环节提出多次质疑的，采购中心、采购人将只对供应商第一次质疑作出答复。</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heme="minorEastAsia" w:hAnsiTheme="minorEastAsia" w:eastAsiaTheme="minorEastAsia" w:cstheme="minorEastAsia"/>
          <w:b w:val="0"/>
          <w:color w:val="000000" w:themeColor="text1"/>
          <w:sz w:val="21"/>
          <w:szCs w:val="21"/>
          <w:lang w:eastAsia="zh-CN"/>
          <w14:textFill>
            <w14:solidFill>
              <w14:schemeClr w14:val="tx1"/>
            </w14:solidFill>
          </w14:textFill>
        </w:rPr>
        <w:t xml:space="preserve">人</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提出，由采购</w:t>
      </w:r>
      <w:r>
        <w:rPr>
          <w:rFonts w:hint="eastAsia" w:asciiTheme="minorEastAsia" w:hAnsiTheme="minorEastAsia" w:eastAsiaTheme="minorEastAsia" w:cstheme="minorEastAsia"/>
          <w:b w:val="0"/>
          <w:color w:val="000000" w:themeColor="text1"/>
          <w:sz w:val="21"/>
          <w:szCs w:val="21"/>
          <w:lang w:eastAsia="zh-CN"/>
          <w14:textFill>
            <w14:solidFill>
              <w14:schemeClr w14:val="tx1"/>
            </w14:solidFill>
          </w14:textFill>
        </w:rPr>
        <w:t xml:space="preserve">人</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负责答复。</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highlight w:val="none"/>
          <w14:textFill>
            <w14:solidFill>
              <w14:schemeClr w14:val="tx1"/>
            </w14:solidFill>
          </w14:textFill>
        </w:rPr>
        <w:t xml:space="preserve">采购人及采购中心只接收以纸质原件形式送达的质疑,采购人和采购中心不接受未填写快递运单的快件。</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29.5 以下情形的质疑不予受理</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29.5.1 内容不符合《政府采购质疑和投诉办法》第十二条规定的质疑。</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29.5.2 超出政府采购法定期限的质疑。</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en-US" w:eastAsia="zh-CN" w:bidi="ar-SA"/>
          <w14:textFill>
            <w14:solidFill>
              <w14:schemeClr w14:val="tx1"/>
            </w14:solidFill>
          </w14:textFill>
        </w:rPr>
        <w:t xml:space="preserve">29.5.3</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 以传真、电子邮件等方式递交的非原件形式的质疑。</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29.5.4 未参加投标活动的供应商或在投标活动中自身权益未受到损害的供应商所提出的质疑。</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29.5.5供应商组成联合体参加投标，联合体中任何一方或多方未按要求签字、盖章、加盖公章的质疑。</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lang w:val="en-US" w:eastAsia="zh-CN"/>
          <w14:textFill>
            <w14:solidFill>
              <w14:schemeClr w14:val="tx1"/>
            </w14:solidFill>
          </w14:textFill>
        </w:rPr>
        <w:t xml:space="preserve">30</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、中标通知书</w:t>
      </w:r>
      <w:bookmarkStart w:id="145" w:name="_Toc120614220"/>
      <w:r/>
      <w:bookmarkStart w:id="146" w:name="_Toc16938552"/>
      <w:r/>
      <w:bookmarkStart w:id="147" w:name="_Toc513029236"/>
      <w:r/>
      <w:bookmarkStart w:id="148" w:name="_Toc20823308"/>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0"/>
          <w:numId w:val="0"/>
        </w:num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88"/>
        <w:ind w:left="0" w:right="0" w:firstLine="422"/>
        <w:keepLines w:val="0"/>
        <w:keepNext/>
        <w:pageBreakBefore w:val="0"/>
        <w:spacing w:before="0" w:after="0" w:line="360" w:lineRule="auto"/>
        <w:widowControl/>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七、</w:t>
      </w:r>
      <w:bookmarkEnd w:id="145"/>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 xml:space="preserve">授予合同</w:t>
      </w:r>
      <w:bookmarkEnd w:id="146"/>
      <w:bookmarkEnd w:id="147"/>
      <w:bookmarkEnd w:id="148"/>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bookmarkStart w:id="149" w:name="_Toc20823309"/>
      <w:r/>
      <w:bookmarkStart w:id="150" w:name="_Toc16938553"/>
      <w:r/>
      <w:bookmarkStart w:id="151" w:name="_Toc513029237"/>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31.l中标人应当在中标通知书发出之日起三十日内，按照招标文件确定的事项与采购人签订政府采购合同。</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31.2招标文件、中标人的投标文件及招标过程中有关澄清、承诺文件均应作为合同附件。</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31.3 签订合同后，中标人不得将合同标的进行转包。未经采购人同意，中标人也不得采用分包的形式履行合同，否则采购人有权终止合同。转包或分包造成采购人损失的，中标人应承担相应赔偿责任。</w:t>
      </w:r>
      <w:bookmarkEnd w:id="149"/>
      <w:bookmarkEnd w:id="150"/>
      <w:bookmarkEnd w:id="151"/>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bookmarkStart w:id="152" w:name="_Toc513029242"/>
      <w:r/>
      <w:bookmarkStart w:id="153" w:name="_Toc120614221"/>
      <w:r/>
      <w:bookmarkStart w:id="154" w:name="_Toc479757207"/>
      <w:r/>
      <w:bookmarkStart w:id="155" w:name="_Toc20823314"/>
      <w:r/>
      <w:bookmarkStart w:id="156" w:name="_Toc16938558"/>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32、货物（包含与货物相关的服务）的追加</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33、政府采购履约资金扶持政策</w:t>
      </w:r>
      <w:r/>
    </w:p>
    <w:p>
      <w:pPr>
        <w:pStyle w:val="707"/>
        <w:ind w:left="0" w:right="0" w:firstLine="420"/>
        <w:jc w:val="both"/>
        <w:keepLines w:val="0"/>
        <w:keepNext/>
        <w:pageBreakBefore w:val="0"/>
        <w:spacing w:before="0" w:beforeAutospacing="0" w:after="0" w:afterAutospacing="0" w:line="360" w:lineRule="auto"/>
        <w:widowControl/>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33.1政府采购线上合同信用融资政策</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33.2进口产品</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33.3中小企业、监狱企业及残疾人福利性单位</w:t>
      </w:r>
      <w:r/>
    </w:p>
    <w:p>
      <w:pPr>
        <w:ind w:left="0" w:right="0" w:firstLine="420"/>
        <w:keepLines w:val="0"/>
        <w:keepNext/>
        <w:pageBreakBefore w:val="0"/>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33.3.1中小企业定义：</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中小企业是指在中华人民共和国境内依法设立，依据国务院批准的中小企业划分标准确定的中型企业、小型企业</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33.3.2供应商提供的货物、工程或者服务符合下列情形的，享受中小企业扶持政策：</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33.3.2.1在货物采购项目中，货物由中小企业制造，即货物由中小企业生产且使用该中小企业商号或者注册商标；</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33.3.2.2在工程采购项目中，工程由中小企业承建，即工程施工单位为中小企业；</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33.3.3在货物采购项目中，供应商提供的货物既有中小企业制造货物，也有大型企业制造货物的，不享受中小企业扶持政策。</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33.3.6残疾人福利单位定义：享受政府采购支持政策的残疾人福利性单位应当同时满足以下条件：</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33.3.6.1安置的残疾人占本单位在职职工人数的比例不低于25%（含25%），并且安置的残疾人人数不少于10 人（含10 人）；</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33.3.6.2依法与安置的每位残疾人签订了一年以上（含一年）的劳动合同或服务协议；</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33.3.6.3为安置的每位残疾人按月足额缴纳了基本养老保险、基本医疗保险、失业保险、工伤保险和生育保险等社会保险费；</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33.3.7本项目是否专门面向中小企业预留采购份额见第一章《招标公告》。</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33.3.8采购标的对应的中小企业划分标准所属行业见第四章《采购需求》。</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33.3.9小微企业价格评审优惠的政策：见第五章《评标方法和评标标准》。</w:t>
      </w:r>
      <w:r/>
    </w:p>
    <w:p>
      <w:pPr>
        <w:ind w:left="0" w:right="0" w:firstLine="420"/>
        <w:keepLines w:val="0"/>
        <w:keepNext/>
        <w:pageBreakBefore w:val="0"/>
        <w:spacing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33.4政府采购节能产品、环境标志产品</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33.4.1严格执行政府采购关于支持</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33.5绿色包装</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33.6政府采购创新产品</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采购人优先采购各级政府部门公开发布的有效期内的创新产品、创新服务、首台套、首购首用等《目录》的创新产品。</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33.7绿色数据中心政策 </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33.8履约保证金政策</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履约保证金的缴纳形式：</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如以履约保函（保险）形式缴纳履约保证金，供应商可通过政府采购电子履约保函（保险）平台（www.jsdzbh.com）在线申请履约保函（保险）。</w:t>
      </w:r>
      <w:r/>
    </w:p>
    <w:p>
      <w:pPr>
        <w:pStyle w:val="688"/>
        <w:ind w:left="0" w:right="0" w:firstLine="420"/>
        <w:keepLines w:val="0"/>
        <w:keepNext/>
        <w:pageBreakBefore w:val="0"/>
        <w:spacing w:before="0" w:after="0" w:line="360" w:lineRule="auto"/>
        <w:widowControl/>
        <w:rPr>
          <w:rFonts w:hint="eastAsia"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履约保证金金额</w:t>
      </w:r>
      <w:r>
        <w:rPr>
          <w:rFonts w:hint="eastAsia" w:asciiTheme="minorEastAsia" w:hAnsiTheme="minorEastAsia" w:eastAsiaTheme="minorEastAsia" w:cstheme="minorEastAsia"/>
          <w:b w:val="0"/>
          <w:color w:val="000000" w:themeColor="text1"/>
          <w:sz w:val="21"/>
          <w:szCs w:val="21"/>
          <w:lang w:val="en-US" w:eastAsia="zh-CN"/>
          <w14:textFill>
            <w14:solidFill>
              <w14:schemeClr w14:val="tx1"/>
            </w14:solidFill>
          </w14:textFill>
        </w:rPr>
        <w:t xml:space="preserve">为</w:t>
      </w: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 xml:space="preserve">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numPr>
          <w:ilvl w:val="0"/>
          <w:numId w:val="0"/>
        </w:numPr>
        <w:ind w:right="0"/>
        <w:keepLines w:val="0"/>
        <w:keepNext/>
        <w:pageBreakBefore w:val="0"/>
        <w:spacing w:line="360" w:lineRule="auto"/>
        <w:widowControl/>
        <w:tabs>
          <w:tab w:val="left" w:pos="1381" w:leader="none"/>
        </w:tabs>
        <w:rPr>
          <w:rFonts w:hint="eastAsia" w:asciiTheme="minorEastAsia" w:hAnsiTheme="minorEastAsia" w:eastAsiaTheme="minorEastAsia" w:cstheme="minorEastAsia"/>
          <w:b w:val="0"/>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lang w:val="en-US" w:eastAsia="zh-CN" w:bidi="ar-SA"/>
          <w14:textFill>
            <w14:solidFill>
              <w14:schemeClr w14:val="tx1"/>
            </w14:solidFill>
          </w14:textFill>
        </w:rPr>
        <w:t xml:space="preserve">34、预付款制度</w:t>
      </w:r>
      <w:r/>
    </w:p>
    <w:p>
      <w:pPr>
        <w:numPr>
          <w:ilvl w:val="0"/>
          <w:numId w:val="0"/>
        </w:numPr>
        <w:ind w:left="0" w:right="0" w:firstLine="420"/>
        <w:keepLines w:val="0"/>
        <w:keepNext/>
        <w:pageBreakBefore w:val="0"/>
        <w:spacing w:line="360" w:lineRule="auto"/>
        <w:widowControl/>
        <w:tabs>
          <w:tab w:val="left" w:pos="1381" w:leader="none"/>
        </w:tabs>
        <w:rPr>
          <w:rFonts w:hint="eastAsia" w:asciiTheme="minorEastAsia" w:hAnsiTheme="minorEastAsia" w:eastAsiaTheme="minorEastAsia" w:cstheme="minorEastAsia"/>
          <w:b w:val="0"/>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lang w:val="en-US" w:eastAsia="zh-CN" w:bidi="ar-SA"/>
          <w14:textFill>
            <w14:solidFill>
              <w14:schemeClr w14:val="tx1"/>
            </w14:solidFill>
          </w14:textFill>
        </w:rPr>
        <w:t xml:space="preserve">34.1 本项目落实预付款制</w:t>
      </w:r>
      <w:r>
        <w:rPr>
          <w:rFonts w:hint="eastAsia" w:asciiTheme="minorEastAsia" w:hAnsiTheme="minorEastAsia" w:eastAsiaTheme="minorEastAsia" w:cstheme="minorEastAsia"/>
          <w:b w:val="0"/>
          <w:color w:val="000000" w:themeColor="text1"/>
          <w:sz w:val="21"/>
          <w:szCs w:val="21"/>
          <w:lang w:val="en-US" w:eastAsia="zh-CN"/>
          <w14:textFill>
            <w14:solidFill>
              <w14:schemeClr w14:val="tx1"/>
            </w14:solidFill>
          </w14:textFill>
        </w:rPr>
        <w:t xml:space="preserve">度，预付款比例为30%。在签订合同时，中标、成交供应商明确书面表示无需预付款或者主动要求降低预付款比例的，采购人可就预付款比例作相应调整。</w:t>
      </w:r>
      <w:r/>
    </w:p>
    <w:p>
      <w:pPr>
        <w:pStyle w:val="706"/>
        <w:numPr>
          <w:ilvl w:val="0"/>
          <w:numId w:val="0"/>
        </w:num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35、补充事宜：</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35.1现场所有需要维修的内容，须根据建设单位的交办单来确定。</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35.2本项目清理雨水进水井（所有型号）、清掏检查井、清理疏通雨水管道、清理明沟为固定全费用综合单价，具体详见清单。</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35.3本项目合同外的签证及组价依据 </w:t>
      </w:r>
      <w:r/>
    </w:p>
    <w:p>
      <w:p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清单按《建设工程工程量清单计价规范》（GB 50500—2013）、《市政工程工程量计算规范》（GB 50857-2013）执行。</w:t>
      </w:r>
      <w:r/>
    </w:p>
    <w:p>
      <w:pPr>
        <w:numPr>
          <w:ilvl w:val="0"/>
          <w:numId w:val="0"/>
        </w:num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定额：</w:t>
      </w:r>
      <w:r/>
    </w:p>
    <w:p>
      <w:pPr>
        <w:numPr>
          <w:ilvl w:val="0"/>
          <w:numId w:val="0"/>
        </w:num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1）中、小修养护维修项目按《江苏省市政设施养护维修定额（2013修订）》、《江苏省市政设施养护维修定额取费标准》执行。</w:t>
      </w:r>
      <w:r/>
    </w:p>
    <w:p>
      <w:pPr>
        <w:numPr>
          <w:ilvl w:val="0"/>
          <w:numId w:val="0"/>
        </w:num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2)大修养护维修项目、新建项目（具体需建设单位派发重大事项交办单）按 《江苏省建设工程费用定额（2014年）》、《江苏省市政工程计价定额（2014版）》、《江苏省建筑与装饰工程计价定额（2014版）》执行。该综合单价的下浮率按照中标时的下浮率执行。</w:t>
      </w:r>
      <w:r/>
    </w:p>
    <w:p>
      <w:pPr>
        <w:numPr>
          <w:ilvl w:val="0"/>
          <w:numId w:val="0"/>
        </w:num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3)人工工资按苏建函价〔2025〕273号文件执行。市政养护人工工资参照江苏省住房和城乡建设厅发布的当期《江苏省建设工程人工工资指导价》中市政工程二类工单价执行（详见附件）。材料单价执行2025年9月份《盐城工程造价信息》中的信息价和市场参考价，无信息价的材料参照市场价格。</w:t>
      </w:r>
      <w:r/>
    </w:p>
    <w:p>
      <w:pPr>
        <w:numPr>
          <w:ilvl w:val="0"/>
          <w:numId w:val="0"/>
        </w:numPr>
        <w:ind w:left="0" w:right="0" w:firstLine="422"/>
        <w:keepLines w:val="0"/>
        <w:keepNext/>
        <w:pageBreakBefore w:val="0"/>
        <w:spacing w:line="360" w:lineRule="auto"/>
        <w:widowControl/>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4）措施费：执行《江苏省市政设施养护维修定额取费标准》、《江苏省市政工程计价定额（2014版）》、《江苏省建筑与装饰工程计价定额（2014版）》的项目，总价措施费项目仅计取安全文明施工费中的基本费及临时设施费，以上两项费率按相应工程类别费率*50%计取。</w:t>
      </w:r>
      <w:r/>
    </w:p>
    <w:p>
      <w:pPr>
        <w:numPr>
          <w:ilvl w:val="0"/>
          <w:numId w:val="0"/>
        </w:numPr>
        <w:ind w:left="0" w:right="0" w:firstLine="422"/>
        <w:keepLines w:val="0"/>
        <w:keepNext/>
        <w:pageBreakBefore w:val="0"/>
        <w:spacing w:line="360" w:lineRule="auto"/>
        <w:widowControl/>
        <w:rPr>
          <w:rFonts w:hint="eastAsia" w:cs="宋体" w:asciiTheme="majorEastAsia" w:hAnsiTheme="majorEastAsia" w:eastAsiaTheme="majorEastAsia"/>
          <w:b/>
          <w:bCs/>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bidi="ar-SA"/>
          <w14:textFill>
            <w14:solidFill>
              <w14:schemeClr w14:val="tx1"/>
            </w14:solidFill>
          </w14:textFill>
        </w:rPr>
        <w:t xml:space="preserve">5）以投标截止日前28 天为基准日，其后国家的法律、法规、规章和政策发生变化导致工程税金、规费、人工工资单价发生变化，并由省级或行业建设行政主管部门或其授权的工程造价管理机构根据上述变化发布了政策性调整，影响工程造价的，相应调整工程价款。</w:t>
      </w:r>
      <w:bookmarkEnd w:id="47"/>
      <w:r/>
    </w:p>
    <w:p>
      <w:pPr>
        <w:pStyle w:val="685"/>
        <w:ind w:right="-275"/>
        <w:jc w:val="center"/>
        <w:rPr>
          <w:rFonts w:hint="eastAsia"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r>
      <w:r/>
    </w:p>
    <w:p>
      <w:pPr>
        <w:pStyle w:val="685"/>
        <w:ind w:right="-275"/>
        <w:jc w:val="center"/>
        <w:rPr>
          <w:rFonts w:hint="eastAsia"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r>
      <w:r/>
    </w:p>
    <w:p>
      <w:pPr>
        <w:pStyle w:val="685"/>
        <w:ind w:right="-275"/>
        <w:jc w:val="center"/>
        <w:rPr>
          <w:rFonts w:hint="eastAsia"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r>
      <w:r/>
    </w:p>
    <w:p>
      <w:pPr>
        <w:rPr>
          <w:rFonts w:hint="eastAsia"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r>
      <w:r/>
    </w:p>
    <w:p>
      <w:pPr>
        <w:pStyle w:val="685"/>
        <w:ind w:right="0"/>
        <w:jc w:val="center"/>
        <w:keepLines w:val="0"/>
        <w:pageBreakBefore w:val="0"/>
        <w:spacing w:line="360" w:lineRule="auto"/>
        <w:widowControl w:val="off"/>
        <w:rPr>
          <w:rFonts w:asciiTheme="majorEastAsia" w:hAnsiTheme="majorEastAsia" w:eastAsiaTheme="majorEastAsia"/>
          <w:bCs/>
          <w:color w:val="000000" w:themeColor="text1"/>
          <w:sz w:val="21"/>
          <w:szCs w:val="21"/>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第三章</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  </w:t>
      </w:r>
      <w:r>
        <w:rPr>
          <w:rFonts w:hint="eastAsia" w:asciiTheme="majorEastAsia" w:hAnsiTheme="majorEastAsia" w:eastAsiaTheme="majorEastAsia"/>
          <w:bCs/>
          <w:color w:val="000000" w:themeColor="text1"/>
          <w:sz w:val="32"/>
          <w:szCs w:val="32"/>
          <w14:textFill>
            <w14:solidFill>
              <w14:schemeClr w14:val="tx1"/>
            </w14:solidFill>
          </w14:textFill>
        </w:rPr>
        <w:t xml:space="preserve">合同条款及</w:t>
      </w:r>
      <w:bookmarkEnd w:id="152"/>
      <w:r/>
      <w:bookmarkEnd w:id="153"/>
      <w:r/>
      <w:bookmarkEnd w:id="154"/>
      <w:r/>
      <w:bookmarkEnd w:id="155"/>
      <w:r/>
      <w:bookmarkEnd w:id="156"/>
      <w:r>
        <w:rPr>
          <w:rFonts w:hint="eastAsia" w:asciiTheme="majorEastAsia" w:hAnsiTheme="majorEastAsia" w:eastAsiaTheme="majorEastAsia"/>
          <w:bCs/>
          <w:color w:val="000000" w:themeColor="text1"/>
          <w:sz w:val="32"/>
          <w:szCs w:val="32"/>
          <w14:textFill>
            <w14:solidFill>
              <w14:schemeClr w14:val="tx1"/>
            </w14:solidFill>
          </w14:textFill>
        </w:rPr>
        <w:t xml:space="preserve">格式</w:t>
      </w:r>
      <w:r/>
    </w:p>
    <w:p>
      <w:pPr>
        <w:pStyle w:val="701"/>
        <w:ind w:left="0" w:right="0" w:firstLine="420"/>
        <w:keepLines w:val="0"/>
        <w:pageBreakBefore w:val="0"/>
        <w:spacing w:line="360" w:lineRule="auto"/>
        <w:widowControl w:val="off"/>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0"/>
        <w:keepLines w:val="0"/>
        <w:pageBreakBefore w:val="0"/>
        <w:spacing w:line="360" w:lineRule="auto"/>
        <w:widowControl w:val="off"/>
        <w:rPr>
          <w:rFonts w:hint="eastAsia"/>
          <w:color w:val="000000" w:themeColor="text1"/>
          <w14:textFill>
            <w14:solidFill>
              <w14:schemeClr w14:val="tx1"/>
            </w14:solidFill>
          </w14:textFill>
        </w:rPr>
      </w:pPr>
      <w:r/>
      <w:bookmarkStart w:id="157" w:name="_Hlk130227972"/>
      <w:r>
        <w:rPr>
          <w:rFonts w:hint="eastAsia"/>
          <w:color w:val="000000" w:themeColor="text1"/>
          <w14:textFill>
            <w14:solidFill>
              <w14:schemeClr w14:val="tx1"/>
            </w14:solidFill>
          </w14:textFill>
        </w:rPr>
        <w:t xml:space="preserve">采购人（以下称甲方）：                   供应商：（以下称乙方）</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住所地：</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住所地：</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根据《中华人民共和国政府采购法》、《中华人民共和国民法典》等法律、法规的规定，按照中标结果签订本合同。</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第一条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合同标的</w:t>
      </w:r>
      <w:r/>
    </w:p>
    <w:p>
      <w:pPr>
        <w:ind w:left="0" w:right="0" w:firstLine="420"/>
        <w:keepLines w:val="0"/>
        <w:pageBreakBefore w:val="0"/>
        <w:spacing w:line="360" w:lineRule="auto"/>
        <w:widowControl w:val="off"/>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乙方根据甲方要求完成</w:t>
      </w:r>
      <w:r>
        <w:rPr>
          <w:rFonts w:hint="eastAsia" w:cs="宋体" w:asciiTheme="majorEastAsia" w:hAnsiTheme="majorEastAsia" w:eastAsiaTheme="majorEastAsia"/>
          <w:color w:val="000000" w:themeColor="text1"/>
          <w:sz w:val="21"/>
          <w:szCs w:val="21"/>
          <w:u w:val="single"/>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u w:val="single"/>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u w:val="single"/>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的养护工作，</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服务</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期：</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二年</w:t>
      </w:r>
      <w:r>
        <w:rPr>
          <w:rFonts w:hint="eastAsia" w:cs="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，自合同签订之日起开始计算。</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养护量清单</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按二年的工作量，</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附后。内容如下：</w:t>
      </w:r>
      <w:r/>
    </w:p>
    <w:p>
      <w:pPr>
        <w:numPr>
          <w:ilvl w:val="0"/>
          <w:numId w:val="0"/>
        </w:numPr>
        <w:ind w:left="0" w:right="0" w:firstLine="420"/>
        <w:keepLines w:val="0"/>
        <w:pageBreakBefore w:val="0"/>
        <w:spacing w:line="360" w:lineRule="auto"/>
        <w:widowControl w:val="off"/>
        <w:tabs>
          <w:tab w:val="left" w:pos="900" w:leader="none"/>
        </w:tabs>
        <w:rPr>
          <w:rFonts w:hint="default" w:eastAsia="宋体"/>
          <w:color w:val="000000" w:themeColor="text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1、</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完成项目范围内的</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施工</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养护工作。</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完成项目范围内的设施每</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日</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巡查</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填写巡查点位表</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，并每</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旬</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提供巡查报告，每月按照甲方要求提供每周、月度完成情况、下月计划；对于甲方巡查下发的问题清单，及时整改并反馈。</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积极配合做好挖掘占用工地的现场管理工作。及时填写道路占挖系统中过程检查和道路修复相关内容。按要求保质保量做好挖掘沟槽的修复工作。对破坏市政设施的行为予以制止，并及时上报和整改到位,及时发现违章占用挖掘报相关部门处理。</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4、完成项目范围内抢险抗灾：做好险灾预防和抢险准备工作，遇到下雪，及时组织人员清除路面积雪。防雪防冻</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防汛</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期间，要求养护施工单位 24 小时保障。在消险过程中严格确保安全作业，并服从甲方的统一指挥和调动，参加全区抢险救灾工作。对突发性事件的应急预案做到定期和不定期演练，以便应对突发性事件。</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5、</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养护单位有责任维护道路桥梁设施的完好，对道路占用、挖掘、以及道路桥梁上其他管线井盖缺失、破损等影响交通安全的现象，在巡查中应及时发现，并每天都有巡查记录，反映巡查的内容、完好状况和报修建议。巡查中有发现有人为占用挖掘道路或有交通安全隐患的现象，巡查人员必须先行制止、做好围护、取证记录，然后上报管理部门。</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6、</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养护巡查必须严格按照相关技术规范进行。各养护单位应当严格按照《城镇道路养护技术规范》（CJJ36-2006）、《城市桥梁养护技术规范》（CJJ99-2003）要求进行养护巡查，明确道路桥梁巡查人员、巡查内容、巡查范围、巡查方法、巡查周期及巡查发现问题报告和追踪解决的程序等。</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bidi="ar-SA"/>
          <w14:textFill>
            <w14:solidFill>
              <w14:schemeClr w14:val="tx1"/>
            </w14:solidFill>
          </w14:textFill>
        </w:rPr>
        <w:t xml:space="preserve">严格遵守《城镇排水管道维护安全技术规程》（CJJ6）的规定，配备气体检测、围挡等设备，保障排水管道养护人员的作业安全和身体健康。</w:t>
      </w:r>
      <w:r/>
    </w:p>
    <w:p>
      <w:pPr>
        <w:ind w:left="0" w:right="0" w:firstLine="420"/>
        <w:keepLines w:val="0"/>
        <w:pageBreakBefore w:val="0"/>
        <w:spacing w:line="360" w:lineRule="auto"/>
        <w:widowControl w:val="off"/>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7</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完成项目范围内各类信访、投诉、举报的处理和整改。认真做好井盖保修投诉工作，自接到保修电话后，两小时内必须指定专人到现场确认并放置警示标志。对“数字城管”、“12345”、“民声110”等便民平台及有关部门、单位转交的投诉，在相应的承诺时限内处理并回复。</w:t>
      </w:r>
      <w:r/>
    </w:p>
    <w:p>
      <w:pPr>
        <w:ind w:left="0" w:right="0" w:firstLine="420"/>
        <w:keepLines w:val="0"/>
        <w:pageBreakBefore w:val="0"/>
        <w:spacing w:line="360" w:lineRule="auto"/>
        <w:widowControl w:val="off"/>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8、</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完成项目范围内突发性和重大性保障工作任务，如文明城市检查、重大活动、节假日等的保障任务。</w:t>
      </w:r>
      <w:r/>
    </w:p>
    <w:p>
      <w:pPr>
        <w:numPr>
          <w:ilvl w:val="0"/>
          <w:numId w:val="0"/>
        </w:numPr>
        <w:ind w:left="0" w:right="0" w:firstLine="420"/>
        <w:keepLines w:val="0"/>
        <w:pageBreakBefore w:val="0"/>
        <w:spacing w:line="360" w:lineRule="auto"/>
        <w:widowControl w:val="off"/>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9、</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做好以上各类工作台账。</w:t>
      </w:r>
      <w:r/>
    </w:p>
    <w:p>
      <w:pPr>
        <w:numPr>
          <w:ilvl w:val="0"/>
          <w:numId w:val="0"/>
        </w:numPr>
        <w:ind w:left="0" w:right="0" w:firstLine="420"/>
        <w:keepLines w:val="0"/>
        <w:pageBreakBefore w:val="0"/>
        <w:spacing w:line="360" w:lineRule="auto"/>
        <w:widowControl w:val="off"/>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10、服从并</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完成甲方布置的其它指令性工作。</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第二条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合同价款 </w:t>
      </w:r>
      <w:r/>
    </w:p>
    <w:p>
      <w:pPr>
        <w:numPr>
          <w:ilvl w:val="0"/>
          <w:numId w:val="0"/>
        </w:numPr>
        <w:ind w:left="0" w:right="0" w:firstLine="420"/>
        <w:keepLines w:val="0"/>
        <w:pageBreakBefore w:val="0"/>
        <w:spacing w:line="360" w:lineRule="auto"/>
        <w:widowControl w:val="off"/>
        <w:tabs>
          <w:tab w:val="left" w:pos="900" w:leader="none"/>
        </w:tabs>
        <w:rPr>
          <w:rFonts w:hint="default" w:cs="宋体" w:asciiTheme="majorEastAsia" w:hAnsiTheme="majorEastAsia" w:eastAsiaTheme="majorEastAsia"/>
          <w:color w:val="000000" w:themeColor="text1"/>
          <w:sz w:val="21"/>
          <w:szCs w:val="21"/>
          <w:highlight w:val="none"/>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本合同含税价</w:t>
      </w:r>
      <w:r>
        <w:rPr>
          <w:rFonts w:hint="eastAsia" w:cs="宋体" w:asciiTheme="majorEastAsia" w:hAnsiTheme="majorEastAsia" w:eastAsiaTheme="majorEastAsia"/>
          <w:color w:val="000000" w:themeColor="text1"/>
          <w:sz w:val="21"/>
          <w:szCs w:val="21"/>
          <w:highlight w:val="none"/>
          <w14:textFill>
            <w14:solidFill>
              <w14:schemeClr w14:val="tx1"/>
            </w14:solidFill>
          </w14:textFill>
        </w:rPr>
        <w:t xml:space="preserve">总价款为</w:t>
      </w:r>
      <w:r>
        <w:rPr>
          <w:rFonts w:hint="eastAsia" w:cs="宋体" w:asciiTheme="majorEastAsia" w:hAnsiTheme="majorEastAsia" w:eastAsiaTheme="majorEastAsia"/>
          <w:color w:val="000000" w:themeColor="text1"/>
          <w:sz w:val="21"/>
          <w:szCs w:val="21"/>
          <w:highlight w:val="none"/>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highlight w:val="none"/>
          <w:u w:val="single"/>
          <w:lang w:val="en-US" w:eastAsia="zh-CN"/>
          <w14:textFill>
            <w14:solidFill>
              <w14:schemeClr w14:val="tx1"/>
            </w14:solidFill>
          </w14:textFill>
        </w:rPr>
        <w:t xml:space="preserve">（大写）</w:t>
      </w:r>
      <w:r>
        <w:rPr>
          <w:rFonts w:hint="eastAsia" w:cs="宋体" w:asciiTheme="majorEastAsia" w:hAnsiTheme="majorEastAsia" w:eastAsiaTheme="majorEastAsia"/>
          <w:color w:val="000000" w:themeColor="text1"/>
          <w:sz w:val="21"/>
          <w:szCs w:val="21"/>
          <w:highlight w:val="none"/>
          <w:u w:val="single"/>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highlight w:val="none"/>
          <w:u w:val="single"/>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highlight w:val="none"/>
          <w:u w:val="single"/>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highlight w:val="none"/>
          <w:u w:val="single"/>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highlight w:val="none"/>
          <w:u w:val="single"/>
          <w:lang w:val="en-US" w:eastAsia="zh-CN"/>
          <w14:textFill>
            <w14:solidFill>
              <w14:schemeClr w14:val="tx1"/>
            </w14:solidFill>
          </w14:textFill>
        </w:rPr>
        <w:t xml:space="preserve">小写：     元</w:t>
      </w:r>
      <w:r>
        <w:rPr>
          <w:rFonts w:hint="eastAsia" w:cs="宋体" w:asciiTheme="majorEastAsia" w:hAnsiTheme="majorEastAsia" w:eastAsiaTheme="majorEastAsia"/>
          <w:color w:val="000000" w:themeColor="text1"/>
          <w:sz w:val="21"/>
          <w:szCs w:val="21"/>
          <w:highlight w:val="none"/>
          <w:u w:val="single"/>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   </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第三条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组成本合同的有关文件</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下列关于采购文件和有关附件是本合同不可分割的组成部分，与本合同具有同等法律效力，这些文件包括但不限于：</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1</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 乙方提供的投标文件和投标报价表；</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2、</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 技术规格响应文件；</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3、</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 投标承诺；</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4、</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 服务承诺；</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5、</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 中标通知书；</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6、</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 甲乙方商定的其它文件。</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第四条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权利保证</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乙方应保证为甲方提供的服务任何一部分时不受第三方提出侵犯其专利权、版权、商标权或其他权利的起诉。一旦出现侵权，乙方应承担全部责任。</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第五条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质量保证</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乙方所提供服务技术标准应与招标文件规定养护内容及要求相一致；另须遵行国家有关部门最新颁布的标准及规范。</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第六条  质保期要求</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highlight w:val="none"/>
          <w:u w:val="none"/>
          <w:lang w:val="en-US" w:eastAsia="zh-CN"/>
          <w14:textFill>
            <w14:solidFill>
              <w14:schemeClr w14:val="tx1"/>
            </w14:solidFill>
          </w14:textFill>
        </w:rPr>
        <w:t xml:space="preserve">指路标牌/分道标牌终身质保；交通信号灯五年质保。</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第七条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考核办法和要求</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按照招标文件中的《月</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半年</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度考核评分标准》进行考核。</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八</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交付使用和验收</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甲方自行组织或视情况邀请相关专家或国家认可的机构参加验收，乙方提供的服务不符合采购文件和合同规定的，甲方有权拒收，并由乙方承担验收费用等。</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九</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履约保证金</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1.乙方交纳人民币</w:t>
      </w:r>
      <w:r>
        <w:rPr>
          <w:rFonts w:hint="eastAsia" w:cs="宋体" w:asciiTheme="majorEastAsia" w:hAnsiTheme="majorEastAsia" w:eastAsiaTheme="majorEastAsia"/>
          <w:color w:val="000000" w:themeColor="text1"/>
          <w:sz w:val="21"/>
          <w:szCs w:val="21"/>
          <w:u w:val="single"/>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元作为本合同的履约保证金。(备注:年度合同金额的 10%，采购人应当对 AA 评级及以上政府采购供应商(需提供信用管理部门备案的第三方信用报告)免收履约保证金或降低约保证金缴纳比例。)</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2.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mw.jsdzbh.com)在线申请履约保函(保险)。</w:t>
      </w:r>
      <w:r/>
    </w:p>
    <w:p>
      <w:pPr>
        <w:numPr>
          <w:ilvl w:val="0"/>
          <w:numId w:val="0"/>
        </w:numPr>
        <w:ind w:left="0" w:right="0" w:firstLine="420"/>
        <w:keepLines w:val="0"/>
        <w:pageBreakBefore w:val="0"/>
        <w:spacing w:line="360" w:lineRule="auto"/>
        <w:widowControl w:val="off"/>
        <w:tabs>
          <w:tab w:val="left" w:pos="900" w:leader="none"/>
        </w:tabs>
        <w:rPr>
          <w:rFonts w:hint="default"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3.退还时间：项目验收合格后待缺陷期满后一次性无息退还。</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4.</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如乙方未能履行合同规定的义务，甲方有权从履约保证金中取得补偿。</w:t>
      </w:r>
      <w:r/>
    </w:p>
    <w:p>
      <w:pPr>
        <w:numPr>
          <w:ilvl w:val="0"/>
          <w:numId w:val="0"/>
        </w:numPr>
        <w:ind w:right="0"/>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十</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合同款支付</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本合同项下所有款项均以人民币支付。</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2、付款方式：</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（1）合同签订后甲方预付合同价的</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3</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0%作为预付款，</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2026年年底付至合同价款的30%（如已付预付款不再另行支付），</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竣工验收合格后</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待2027年年底</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付至</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合同</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价款的</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60</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一审结束后付至结算价款的80%，二审结束后付至终审价款的95%，</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余款待终审结束后</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且缺陷期满二十四个月后</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一次性无息结清。</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（2）</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巡查费用（包含在投标总价中）</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按年终审核报告并结合养护质量百分考核表考核进行结算。月度考评</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和半年度考评</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得分：以100分为满分，考评得分9</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0</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分以上（含9</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0</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分），不扣除作业经费；考评9</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0</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分以下，扣除5000元；考评得分在</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80</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以下，扣除10000元；累计连续两次考核低于80分的(出现一次时，发放书面警告通知)，甲方有权终止本合同，没收其履约保证金。(考核内容和标准如有调整，乙方需无条件执行)。</w:t>
      </w:r>
      <w:r/>
    </w:p>
    <w:p>
      <w:pPr>
        <w:ind w:left="0" w:right="0" w:firstLine="422"/>
        <w:keepLines w:val="0"/>
        <w:pageBreakBefore w:val="0"/>
        <w:spacing w:line="360" w:lineRule="auto"/>
        <w:widowControl w:val="off"/>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3</w:t>
      </w:r>
      <w:r>
        <w:rPr>
          <w:rFonts w:hint="eastAsia" w:cs="宋体" w:asciiTheme="majorEastAsia" w:hAnsiTheme="majorEastAsia" w:eastAsiaTheme="majorEastAsia"/>
          <w:b/>
          <w:bCs/>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为规范结算程序，缩短结算周期。本项目竣工结算时，施工单位应如实报送项目报审价。报审价经建设单位审核后，核减（增）额超过报审价10%及以上的，按核减额*5%，从审定价中进行扣减（如余款不足扣除的，施工单位应补足应扣价款）。</w:t>
      </w:r>
      <w:r/>
    </w:p>
    <w:tbl>
      <w:tblPr>
        <w:tblStyle w:val="7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3159"/>
        <w:gridCol w:w="2130"/>
      </w:tblGrid>
      <w:tr>
        <w:trPr>
          <w:jc w:val="center"/>
        </w:trPr>
        <w:tc>
          <w:tcPr>
            <w:tcBorders>
              <w:top w:val="none" w:color="000000" w:sz="4" w:space="0"/>
              <w:left w:val="none" w:color="000000" w:sz="4" w:space="0"/>
              <w:bottom w:val="none" w:color="000000" w:sz="4" w:space="0"/>
              <w:right w:val="none" w:color="000000" w:sz="4" w:space="0"/>
            </w:tcBorders>
            <w:tcW w:w="1742" w:type="dxa"/>
            <w:vAlign w:val="center"/>
            <w:vMerge w:val="restart"/>
            <w:textDirection w:val="lrTb"/>
            <w:noWrap w:val="false"/>
          </w:tcPr>
          <w:p>
            <w:pPr>
              <w:ind w:right="0"/>
              <w:jc w:val="both"/>
              <w:keepLines w:val="0"/>
              <w:pageBreakBefore w:val="0"/>
              <w:spacing w:line="360" w:lineRule="auto"/>
              <w:widowControl w:val="off"/>
              <w:rPr>
                <w:rFonts w:hint="default"/>
                <w:color w:val="000000" w:themeColor="text1"/>
                <w:sz w:val="24"/>
                <w:szCs w:val="24"/>
                <w:vertAlign w:val="baseline"/>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w:t>
            </w:r>
            <w:r>
              <w:rPr>
                <w:rFonts w:hint="eastAsia"/>
                <w:color w:val="000000" w:themeColor="text1"/>
                <w:sz w:val="22"/>
                <w:szCs w:val="22"/>
                <w:lang w:val="en-US" w:eastAsia="zh-CN"/>
                <w14:textFill>
                  <w14:solidFill>
                    <w14:schemeClr w14:val="tx1"/>
                  </w14:solidFill>
                </w14:textFill>
              </w:rPr>
              <w:t xml:space="preserve">例：核减额=</w:t>
            </w:r>
            <w:r/>
          </w:p>
        </w:tc>
        <w:tc>
          <w:tcPr>
            <w:tcBorders>
              <w:top w:val="none" w:color="000000" w:sz="4" w:space="0"/>
              <w:left w:val="none" w:color="000000" w:sz="4" w:space="0"/>
              <w:right w:val="none" w:color="000000" w:sz="4" w:space="0"/>
            </w:tcBorders>
            <w:tcW w:w="3159" w:type="dxa"/>
            <w:vAlign w:val="bottom"/>
            <w:textDirection w:val="lrTb"/>
            <w:noWrap w:val="false"/>
          </w:tcPr>
          <w:p>
            <w:pPr>
              <w:ind w:right="0"/>
              <w:jc w:val="center"/>
              <w:keepLines w:val="0"/>
              <w:pageBreakBefore w:val="0"/>
              <w:spacing w:line="360" w:lineRule="auto"/>
              <w:widowControl w:val="off"/>
              <w:rPr>
                <w:rFonts w:hint="default"/>
                <w:color w:val="000000" w:themeColor="text1"/>
                <w:sz w:val="24"/>
                <w:szCs w:val="24"/>
                <w:vertAlign w:val="baseline"/>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 xml:space="preserve">（报审价-审定价）</w:t>
            </w:r>
            <w:r/>
          </w:p>
        </w:tc>
        <w:tc>
          <w:tcPr>
            <w:tcBorders>
              <w:top w:val="none" w:color="000000" w:sz="4" w:space="0"/>
              <w:left w:val="none" w:color="000000" w:sz="4" w:space="0"/>
              <w:bottom w:val="none" w:color="000000" w:sz="4" w:space="0"/>
              <w:right w:val="none" w:color="000000" w:sz="4" w:space="0"/>
            </w:tcBorders>
            <w:tcW w:w="2130" w:type="dxa"/>
            <w:vAlign w:val="center"/>
            <w:vMerge w:val="restart"/>
            <w:textDirection w:val="lrTb"/>
            <w:noWrap w:val="false"/>
          </w:tcPr>
          <w:p>
            <w:pPr>
              <w:ind w:right="0"/>
              <w:jc w:val="left"/>
              <w:keepLines w:val="0"/>
              <w:pageBreakBefore w:val="0"/>
              <w:spacing w:line="360" w:lineRule="auto"/>
              <w:widowControl w:val="off"/>
              <w:rPr>
                <w:rFonts w:hint="default"/>
                <w:color w:val="000000" w:themeColor="text1"/>
                <w:sz w:val="24"/>
                <w:szCs w:val="24"/>
                <w:vertAlign w:val="baseline"/>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 xml:space="preserve">*100%≥10%</w:t>
            </w:r>
            <w:r>
              <w:rPr>
                <w:rFonts w:hint="eastAsia"/>
                <w:color w:val="000000" w:themeColor="text1"/>
                <w:sz w:val="24"/>
                <w:szCs w:val="24"/>
                <w:lang w:val="en-US" w:eastAsia="zh-CN"/>
                <w14:textFill>
                  <w14:solidFill>
                    <w14:schemeClr w14:val="tx1"/>
                  </w14:solidFill>
                </w14:textFill>
              </w:rPr>
              <w:t xml:space="preserve">】</w:t>
            </w:r>
            <w:r/>
          </w:p>
        </w:tc>
      </w:tr>
      <w:tr>
        <w:trPr>
          <w:jc w:val="center"/>
        </w:trPr>
        <w:tc>
          <w:tcPr>
            <w:tcBorders>
              <w:left w:val="none" w:color="000000" w:sz="4" w:space="0"/>
              <w:bottom w:val="none" w:color="000000" w:sz="4" w:space="0"/>
              <w:right w:val="none" w:color="000000" w:sz="4" w:space="0"/>
            </w:tcBorders>
            <w:tcW w:w="1742" w:type="dxa"/>
            <w:vMerge w:val="continue"/>
            <w:textDirection w:val="lrTb"/>
            <w:noWrap w:val="false"/>
          </w:tcPr>
          <w:p>
            <w:pPr>
              <w:ind w:left="0" w:right="0" w:firstLine="480"/>
              <w:keepLines w:val="0"/>
              <w:pageBreakBefore w:val="0"/>
              <w:spacing w:line="360" w:lineRule="auto"/>
              <w:widowControl w:val="off"/>
              <w:rPr>
                <w:rFonts w:hint="default"/>
                <w:color w:val="000000" w:themeColor="text1"/>
                <w:sz w:val="24"/>
                <w:szCs w:val="24"/>
                <w:vertAlign w:val="baseline"/>
                <w:lang w:val="en-US" w:eastAsia="zh-CN"/>
                <w14:textFill>
                  <w14:solidFill>
                    <w14:schemeClr w14:val="tx1"/>
                  </w14:solidFill>
                </w14:textFill>
              </w:rPr>
            </w:pPr>
            <w:r>
              <w:rPr>
                <w:rFonts w:hint="default"/>
                <w:color w:val="000000" w:themeColor="text1"/>
                <w:sz w:val="24"/>
                <w:szCs w:val="24"/>
                <w:vertAlign w:val="baseline"/>
                <w:lang w:val="en-US" w:eastAsia="zh-CN"/>
                <w14:textFill>
                  <w14:solidFill>
                    <w14:schemeClr w14:val="tx1"/>
                  </w14:solidFill>
                </w14:textFill>
              </w:rPr>
            </w:r>
            <w:r/>
          </w:p>
        </w:tc>
        <w:tc>
          <w:tcPr>
            <w:tcBorders>
              <w:left w:val="none" w:color="000000" w:sz="4" w:space="0"/>
              <w:bottom w:val="none" w:color="000000" w:sz="4" w:space="0"/>
              <w:right w:val="none" w:color="000000" w:sz="4" w:space="0"/>
            </w:tcBorders>
            <w:tcW w:w="3159" w:type="dxa"/>
            <w:textDirection w:val="lrTb"/>
            <w:noWrap w:val="false"/>
          </w:tcPr>
          <w:p>
            <w:pPr>
              <w:ind w:right="0"/>
              <w:jc w:val="center"/>
              <w:keepLines w:val="0"/>
              <w:pageBreakBefore w:val="0"/>
              <w:spacing w:line="360" w:lineRule="auto"/>
              <w:widowControl w:val="off"/>
              <w:rPr>
                <w:rFonts w:hint="default"/>
                <w:color w:val="000000" w:themeColor="text1"/>
                <w:sz w:val="24"/>
                <w:szCs w:val="24"/>
                <w:vertAlign w:val="baseline"/>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 xml:space="preserve">报审价</w:t>
            </w:r>
            <w:r/>
          </w:p>
        </w:tc>
        <w:tc>
          <w:tcPr>
            <w:tcBorders>
              <w:left w:val="none" w:color="000000" w:sz="4" w:space="0"/>
              <w:bottom w:val="none" w:color="000000" w:sz="4" w:space="0"/>
              <w:right w:val="none" w:color="000000" w:sz="4" w:space="0"/>
            </w:tcBorders>
            <w:tcW w:w="2130" w:type="dxa"/>
            <w:vMerge w:val="continue"/>
            <w:textDirection w:val="lrTb"/>
            <w:noWrap w:val="false"/>
          </w:tcPr>
          <w:p>
            <w:pPr>
              <w:ind w:left="0" w:right="0" w:firstLine="480"/>
              <w:keepLines w:val="0"/>
              <w:pageBreakBefore w:val="0"/>
              <w:spacing w:line="360" w:lineRule="auto"/>
              <w:widowControl w:val="off"/>
              <w:rPr>
                <w:rFonts w:hint="default"/>
                <w:color w:val="000000" w:themeColor="text1"/>
                <w:sz w:val="24"/>
                <w:szCs w:val="24"/>
                <w:vertAlign w:val="baseline"/>
                <w:lang w:val="en-US" w:eastAsia="zh-CN"/>
                <w14:textFill>
                  <w14:solidFill>
                    <w14:schemeClr w14:val="tx1"/>
                  </w14:solidFill>
                </w14:textFill>
              </w:rPr>
            </w:pPr>
            <w:r>
              <w:rPr>
                <w:rFonts w:hint="default"/>
                <w:color w:val="000000" w:themeColor="text1"/>
                <w:sz w:val="24"/>
                <w:szCs w:val="24"/>
                <w:vertAlign w:val="baseline"/>
                <w:lang w:val="en-US" w:eastAsia="zh-CN"/>
                <w14:textFill>
                  <w14:solidFill>
                    <w14:schemeClr w14:val="tx1"/>
                  </w14:solidFill>
                </w14:textFill>
              </w:rPr>
            </w:r>
            <w:r/>
          </w:p>
        </w:tc>
      </w:tr>
    </w:tbl>
    <w:p>
      <w:pPr>
        <w:numPr>
          <w:ilvl w:val="0"/>
          <w:numId w:val="0"/>
        </w:numPr>
        <w:ind w:left="0" w:right="0" w:firstLine="422"/>
        <w:keepLines w:val="0"/>
        <w:pageBreakBefore w:val="0"/>
        <w:spacing w:line="360" w:lineRule="auto"/>
        <w:widowControl w:val="off"/>
        <w:rPr>
          <w:rFonts w:hint="eastAsia" w:cs="宋体" w:asciiTheme="majorEastAsia" w:hAnsiTheme="majorEastAsia" w:eastAsiaTheme="majorEastAsia"/>
          <w:b/>
          <w:bCs/>
          <w:color w:val="000000" w:themeColor="text1"/>
          <w:sz w:val="21"/>
          <w:szCs w:val="21"/>
          <w:lang w:val="en-US" w:eastAsia="zh-CN" w:bidi="ar-SA"/>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bidi="ar-SA"/>
          <w14:textFill>
            <w14:solidFill>
              <w14:schemeClr w14:val="tx1"/>
            </w14:solidFill>
          </w14:textFill>
        </w:rPr>
      </w:r>
      <w:r/>
    </w:p>
    <w:p>
      <w:pPr>
        <w:numPr>
          <w:ilvl w:val="0"/>
          <w:numId w:val="0"/>
        </w:numPr>
        <w:ind w:left="0" w:right="0" w:firstLine="422"/>
        <w:keepLines w:val="0"/>
        <w:pageBreakBefore w:val="0"/>
        <w:spacing w:line="360" w:lineRule="auto"/>
        <w:widowControl w:val="off"/>
        <w:tabs>
          <w:tab w:val="left" w:pos="900" w:leader="none"/>
        </w:tabs>
        <w:rPr>
          <w:rFonts w:hint="default"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bidi="ar-SA"/>
          <w14:textFill>
            <w14:solidFill>
              <w14:schemeClr w14:val="tx1"/>
            </w14:solidFill>
          </w14:textFill>
        </w:rPr>
        <w:t xml:space="preserve">（4）</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本项目招标工程量为预估工程量，投标人依据现场踏勘情况并结合自身施工方案等因素确定全费用综合单价，结算时工程量按实结算，中标单价不调整（非承包人引起的项目变更或清单描述变更除外）。</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按以上进度付款无任何利息补偿，付款时乙方须提供增值税专用发票。</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货款一律通过银行非现金结算，结算方式：转账。</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甲方保留适度调整采购需求的权利。</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重新组价原则是按照标底价格执行中标下浮率。若标底价格失真或者不存在则由</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乙方</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提出新的综合单价(按照招标文件约定套用相应定额，执行中标下浮率，材料价格执行招标时招标文件中明确《盐城工程造价》的材料市场信息价、参考价),经</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甲方</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确认后调整；合同中已有适用的综合单价，按合同中已有的综合单价确定；合同中没有相同的但有类似的综合单价，在合理范围内参照类似的综合单价确定；合同中没有适用或类似的综合单价，其相应综合单价由</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乙方</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按招标文件约定的计价程序提出综合单价，经</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甲方</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确认后参照中标下浮率同比下浮后进行结算。</w:t>
      </w:r>
      <w:r/>
    </w:p>
    <w:p>
      <w:pPr>
        <w:numPr>
          <w:ilvl w:val="0"/>
          <w:numId w:val="0"/>
        </w:numPr>
        <w:ind w:left="0" w:right="0" w:firstLine="420"/>
        <w:jc w:val="center"/>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中标下浮率计算公示如下：</w:t>
      </w:r>
      <w:r/>
    </w:p>
    <w:p>
      <w:pPr>
        <w:numPr>
          <w:ilvl w:val="0"/>
          <w:numId w:val="0"/>
        </w:numPr>
        <w:ind w:left="0" w:right="0" w:firstLine="420"/>
        <w:jc w:val="center"/>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投标报价</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扣除招标控制价</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中暂列金额、专业工程暂估价、暂估材料总价、</w:t>
      </w:r>
      <w:r/>
    </w:p>
    <w:p>
      <w:pPr>
        <w:numPr>
          <w:ilvl w:val="0"/>
          <w:numId w:val="0"/>
        </w:numPr>
        <w:ind w:left="0" w:right="0" w:firstLine="420"/>
        <w:jc w:val="center"/>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发包人供应材料总价及上述四项的规费和税金)</w:t>
      </w:r>
      <w:r/>
    </w:p>
    <w:p>
      <w:pPr>
        <w:numPr>
          <w:ilvl w:val="0"/>
          <w:numId w:val="0"/>
        </w:numPr>
        <w:ind w:left="0" w:right="0" w:firstLine="420"/>
        <w:jc w:val="center"/>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下浮率=1-</w:t>
      </w:r>
      <w:r>
        <w:rPr>
          <w:rFonts w:hint="eastAsia" w:ascii="宋体" w:hAnsi="宋体" w:eastAsia="宋体" w:cs="宋体"/>
          <w:strike/>
          <w:color w:val="000000" w:themeColor="text1"/>
          <w:spacing w:val="2"/>
          <w:sz w:val="19"/>
          <w:szCs w:val="19"/>
          <w14:textFill>
            <w14:solidFill>
              <w14:schemeClr w14:val="tx1"/>
            </w14:solidFill>
          </w14:textFill>
        </w:rPr>
        <w:t xml:space="preserve">          </w:t>
      </w:r>
      <w:r>
        <w:rPr>
          <w:rFonts w:hint="eastAsia" w:ascii="宋体" w:hAnsi="宋体" w:cs="宋体"/>
          <w:strike/>
          <w:color w:val="000000" w:themeColor="text1"/>
          <w:spacing w:val="2"/>
          <w:sz w:val="19"/>
          <w:szCs w:val="19"/>
          <w:lang w:val="en-US" w:eastAsia="zh-CN"/>
          <w14:textFill>
            <w14:solidFill>
              <w14:schemeClr w14:val="tx1"/>
            </w14:solidFill>
          </w14:textFill>
        </w:rPr>
        <w:t xml:space="preserve"> </w:t>
      </w:r>
      <w:r>
        <w:rPr>
          <w:rFonts w:hint="eastAsia" w:ascii="宋体" w:hAnsi="宋体" w:eastAsia="宋体" w:cs="宋体"/>
          <w:strike/>
          <w:color w:val="000000" w:themeColor="text1"/>
          <w:spacing w:val="2"/>
          <w:sz w:val="19"/>
          <w:szCs w:val="19"/>
          <w14:textFill>
            <w14:solidFill>
              <w14:schemeClr w14:val="tx1"/>
            </w14:solidFill>
          </w14:textFill>
        </w:rPr>
        <w:t xml:space="preserve">                        </w:t>
      </w:r>
      <w:r>
        <w:rPr>
          <w:rFonts w:hint="eastAsia" w:ascii="宋体" w:hAnsi="宋体" w:eastAsia="宋体" w:cs="宋体"/>
          <w:strike/>
          <w:color w:val="000000" w:themeColor="text1"/>
          <w:spacing w:val="1"/>
          <w:sz w:val="19"/>
          <w:szCs w:val="19"/>
          <w14:textFill>
            <w14:solidFill>
              <w14:schemeClr w14:val="tx1"/>
            </w14:solidFill>
          </w14:textFill>
        </w:rPr>
        <w:t xml:space="preserve">                        </w:t>
      </w:r>
      <w:r>
        <w:rPr>
          <w:rFonts w:hint="eastAsia" w:ascii="宋体" w:hAnsi="宋体" w:cs="宋体"/>
          <w:strike/>
          <w:color w:val="000000" w:themeColor="text1"/>
          <w:spacing w:val="1"/>
          <w:sz w:val="19"/>
          <w:szCs w:val="19"/>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×100%</w:t>
      </w:r>
      <w:r/>
    </w:p>
    <w:p>
      <w:pPr>
        <w:numPr>
          <w:ilvl w:val="0"/>
          <w:numId w:val="0"/>
        </w:numPr>
        <w:ind w:left="0" w:right="0" w:firstLine="420"/>
        <w:jc w:val="center"/>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招标控制价(扣</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除招标控制价中暂列金额、专业工程暂估价、暂估材料总价、</w:t>
      </w:r>
      <w:r/>
    </w:p>
    <w:p>
      <w:pPr>
        <w:numPr>
          <w:ilvl w:val="0"/>
          <w:numId w:val="0"/>
        </w:numPr>
        <w:ind w:left="0" w:right="0" w:firstLine="420"/>
        <w:jc w:val="center"/>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发包人供应材料总价及上述四项的规费和税金)</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注：上式中暂列金额、专业工程暂估价、暂估材料总价、发包人供应材料总价均以</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甲方</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公布的为准。</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一</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甲方权利与义务</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对乙方的维护质量、数量等进行检查考核，按照考核结果进行维护费用拨付。</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2、审核乙方提交的维护计划，根据维护需要对乙方维护计划进行核准或调整。</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3、督促、指导乙方按照维护规范、规程的要求实施维护、巡查等工作，推广使用新工艺、新材料。</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4、可根据国家、省、市以及业务主管部门相关法律法规和管理规定的变动对检查考核规范进行修改和补充。</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5、监督检查乙方落实安全作业措施。</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6、督促乙方为合同项目工作人员办理社保，社保费用包含在合同款中。</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7、在乙方不能履行本合同相应责任、义务或未完全履行义务时，甲方有权书面通知乙方终止合同，并按相关法律、法规对乙方追究责任，并扣除未履行义务与之相应的养护费用，乙方须在一周内移交相关资料并撤场。</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8、由于建设、维护需要，甲方对乙方所承包维护的设施实施改造等变动时，应事先告知乙方。</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二</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乙方权利和义务</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1、按照设施维护规范、规程规定要求的数量和质量实施设施维护作业，完成各项设施维护任务，达到甲方有关设施维护标准，保持所维护设施完好状况，如因设施产生缺陷而导致不良后果，乙方承担全部责任。</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2、按照有关要求实施维护作业施工时，统一着装，乙方的工作人员及设备的安全由乙方负责。</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因养护责任而造成所承包养护范围内的市政设施对自身或第三方形成伤害时一切责任由乙方承担。</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3、建立健全设施维护各类台帐资料，按规定及时准确地向甲方报送维修计划和维修报表。</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4、按照甲方要求、技术规范，制定所承包维护设施的扫雪预案，组织和落实扫雪的抢险队伍、机具和常用材料。下雪期间保持 24 小时通讯畅通，服从甲方调度和管理。</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重大应急处理：建立健全所承包维护设施的各类应急预案，做到应急处理全覆盖。遇有突发事件或不可抗力因素造成设施损坏时，乙方应在二小时内派人员到达现场，落实现场安全防范措施，根据设施损坏实际情况，提出抢修建议或方案，经甲方批准后，组织抢修施工，恢复设施使用和运行。</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6</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乙方应设立报修电话，实行 24 小时值班制度，履行行风建设职责；对所承包维护的设施应开展日常巡查，发现违章挖掘、占用或人为损坏时，应予以制止，并采取必要措施保障公共安全，同时及时向甲方报告。</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7、按照甲方要求，保质保量按期完成甲方交办的其他指令性任务；在各项保供、迎检等工作中，服从甲方安排，达到各项要求。</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8、如乙方使用新技术、新产品，在养护工作中得到有效利用，并提升养护质量，在当月养护考核中给予适当加分。</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9</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乙方实施维护作业施工，并承担维护作业施工涉及的所有安全责任。如因乙方原因而发生的事故，一切赔偿和损失由乙方承担。</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10、乙方所采用的维护材料、机具必须符合国家、省、市相关标准和规定，且为合格产品。</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11</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乙方所聘用的各岗位人员必须经过专业培训，按照国家规定需要持有上岗证。</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12</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乙方不得将所承包维护的设施进行出租、抵押、担保或利用其从事其他经营性行为。乙方须承担由此给甲方和第三方造成的一切损失。</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13、乙方拟投入项目的人员未经甲方同意，不得更换，且需积极服从甲方现场检查、考核、会议等要求。</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三</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违约责任</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1、甲方无正当理由拒付合同款的, 甲方应向乙方支付拒付合同款 1% 的违约金。</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2、甲方延期付款（有正当拒付理由除外），应向乙方偿付拖欠款项的违约金，金额每日按逾期款金额的万分之三计算。</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3、乙方实施下列行为之一的，乙方应向甲方支付合同总价5%的违约金，甲方有权解除合同，并有权要求乙方赔偿损失。</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(1)提供的服务不满足考核要求。</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(2)未完成合同约定的服务任务，甲方根据条款规定，视乙方违反规定的情节轻重，做出批评教育、警告、扣罚处理；情况严重者，甲方有权单方终止本合同，乙方自行承担一切经济损失和法律责任。</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4、由于不可抗力原因使甲、乙方无法履约，可不执行违约责任条款，由双方协商解决。</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5、乙方因人员、机械等跟不上管理需要影响工作，未达到质量标准或养护计划，经检查第一次不合格的，甲方要求乙方限期整改；第二次仍不合格的，甲方有权单方终止本合同。</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6、上述违约金不能补偿对方损失时，双方有权向对方追索实际损失的赔偿金。</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7、经乙方两次维修，仍不能达到合同约定的质量标准，甲方扣除全部履约保证金，同时，乙方还必须支付</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养护设</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施整改费用。</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四</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奖惩措施</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1</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、加分因素</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(1)受媒体专题表扬的单位，每次加1分，累计最高加 4 分（受表扬的单位需提供相关材料）。</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(2)参与各类评比活动获奖的，视部、省、市不同层次进行加分，分值分别为 3 、2 、1 分，同一项目按最高奖项加分，累计最高加 6 分。</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2</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、否决指标</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(1)乙方对于下达的养护计划和指令擅自不按计划实施，养护施工质量严重不达标准，合同经费将扣除 10000 元。</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(2)乙方因创建迎查、各类保障等专项任务工作不力造成社会负面影响的，合同经费将扣除 10000元。</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(3)乙方因重点指令性任务未完成的，合同经费将扣除 10000 元。</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(4)乙方对市政设施和各类投诉处理问题，因养护责任被政府督办问责、被媒体曝光或造成社会恶劣影响的，合同经费将扣除 10000 元。</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(5)乙方未及时发现安全隐患，因养护不到位造成安全生产责任的，经费将扣除 10000 元。突发事件现场处置不当，发生衍生事故的经费将扣除 10000-20000 元。发生重大安全生产责任事故，合同经费将扣除 50000 元。</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6）因上述情况乙方一年内累计三次得到甲方书面警告的，或二次书面严重警告，甲方将提前终止中标方的全部合同。维护经费结算到终止合同的前一个月止（甲方拒付费用不参与结算）。并取消其下一轮在我区市政养护招标中的投标资格。</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（7）乙方在合同期限内两次收到市区级综合考评批评，并影响到全区养护考核分值较大的，甲方将提前终止中标方的全部合同。并取消其下一轮在我区市政养护招标中的投标资格。</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（8）乙方擅自转包或分包的，甲方将提前终止乙方的全部合同，扣除全部履约保证金。并取消其下一轮在我区市政养护招标中的投标资格。</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五</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  合同的变更和终止</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1、除《政府采购法》第 50 条第二款规定的情形外，有下列情形的：</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（1）乙方拖欠员工工资或者非法用工的；</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（2）乙方以所养护的设施进行抵押、出租等经营性活动的；</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（3)乙方无故放弃养护的；</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甲方可终止合同，按养护实际发生费用并扣除违约金及损失赔偿后拨付乙方应得费用。终止合同后，乙方须在一周内退场。</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2、除发生法律规定的不能预见、不能避免并不能克服的客观情况外，甲乙双方不得放弃或拒绝履行合同。乙方放弃或拒绝履行合同，保证金不予退还， 在三年内不得参加涉及甲方的政府采购活动。</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六</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合同的转让</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乙方不得擅自部分或全部转让其应履行的合同义务，否则甲方有权提前终止合同。</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七</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争议的解决</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1、因履行本合同引起的或与本合同有关的争议，甲、乙双方应首先通过友好协商解决， 如果协商不能解决争议，则采取以下第（1）种方式解决争议：</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（1）向甲方所在地有管辖权的人民法院提起诉讼；</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（2）向盐城仲裁委员会按其仲裁规则申请仲裁。</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2、在诉讼期间，本合同应继续履行。</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八</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诚实信用</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甲乙双方应诚实信用，严格按照采购文件要求和承诺履行合同，乙方不得向甲方进行商业贿赂或者提供不正当利益。</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第十</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九</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合同生效及其他</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w:t>
      </w:r>
      <w:r>
        <w:rPr>
          <w:rFonts w:hint="eastAsia" w:cs="宋体"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本合同自签订之日起生效。</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2、本合同一式六份，甲乙双方各执两份，一份交政府采购代理机构存档，一份报送政府采购监督管理部门备案。</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3、本合同应按照中华人民共和国的现行法律进行解释。</w:t>
      </w:r>
      <w:r/>
    </w:p>
    <w:p>
      <w:pPr>
        <w:numPr>
          <w:ilvl w:val="0"/>
          <w:numId w:val="0"/>
        </w:numPr>
        <w:ind w:left="0" w:right="0" w:firstLine="422"/>
        <w:keepLines w:val="0"/>
        <w:pageBreakBefore w:val="0"/>
        <w:spacing w:line="360" w:lineRule="auto"/>
        <w:widowControl w:val="off"/>
        <w:tabs>
          <w:tab w:val="left" w:pos="900" w:leader="none"/>
        </w:tabs>
        <w:rPr>
          <w:rFonts w:hint="eastAsia" w:cs="宋体" w:asciiTheme="majorEastAsia" w:hAnsiTheme="majorEastAsia" w:eastAsiaTheme="majorEastAsia"/>
          <w:b/>
          <w:bCs/>
          <w:color w:val="000000" w:themeColor="text1"/>
          <w:sz w:val="21"/>
          <w:szCs w:val="21"/>
          <w14:textFill>
            <w14:solidFill>
              <w14:schemeClr w14:val="tx1"/>
            </w14:solidFill>
          </w14:textFill>
        </w:rPr>
      </w:pP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第</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二十</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条</w:t>
      </w: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b/>
          <w:bCs/>
          <w:color w:val="000000" w:themeColor="text1"/>
          <w:sz w:val="21"/>
          <w:szCs w:val="21"/>
          <w14:textFill>
            <w14:solidFill>
              <w14:schemeClr w14:val="tx1"/>
            </w14:solidFill>
          </w14:textFill>
        </w:rPr>
        <w:t xml:space="preserve">其他约定</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1、乙方向甲方出示本项目所有人员的劳务合同原件、身份证原件，并将劳务合同复印件、身份证复印件交甲方备案。</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2、乙方向甲方出示管理人员资格证书原件（必要时），并将复印件交甲方备案。 </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3、乙方应自觉接受甲方及有关部门对合同履行情况的监督和考核，接受甲方考核制度及奖惩制度的规定。</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4、乙方的管理人员调整，应提前 3 天书面通知甲方。经甲方同意后，出示新来管理人员的劳务合同原件、身份证原件，并将劳务合同复印件、身份证复印件送甲方备案。</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5、乙方在考核、检查等各项活动中，做到各项检查合格并力争创优争先。</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6、合同期内甲方需增加同类服务工作量的，甲乙双方按照法律规定另行约定。</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7、乙方应做好施工场地周边建筑物、构筑物和地下管线的保护工作。</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8、及时制止并上报行政执法部门查处违章占用、挖掘事件，并立即上报甲方，配合甲方搞好执法工作。</w:t>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r>
      <w:r/>
    </w:p>
    <w:p>
      <w:pPr>
        <w:numPr>
          <w:ilvl w:val="0"/>
          <w:numId w:val="0"/>
        </w:numPr>
        <w:ind w:left="0" w:right="0" w:firstLine="420"/>
        <w:keepLines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r>
      <w:r/>
    </w:p>
    <w:p>
      <w:pPr>
        <w:numPr>
          <w:ilvl w:val="0"/>
          <w:numId w:val="0"/>
        </w:numPr>
        <w:ind w:left="0"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方：  （公章）</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乙</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方： （公章）</w:t>
      </w:r>
      <w:r/>
    </w:p>
    <w:p>
      <w:pPr>
        <w:numPr>
          <w:ilvl w:val="0"/>
          <w:numId w:val="0"/>
        </w:numPr>
        <w:ind w:left="0"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法定代表人或</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法定代表人或</w:t>
      </w:r>
      <w:r/>
    </w:p>
    <w:p>
      <w:pPr>
        <w:numPr>
          <w:ilvl w:val="0"/>
          <w:numId w:val="0"/>
        </w:numPr>
        <w:ind w:left="0"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委托代理人（签字或盖章）：</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委托代理人（签字或盖章）：</w:t>
      </w:r>
      <w:r/>
    </w:p>
    <w:p>
      <w:pPr>
        <w:pStyle w:val="76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签字日期：</w:t>
      </w:r>
      <w:r>
        <w:rPr>
          <w:rFonts w:hint="eastAsia" w:hAnsi="宋体" w:cs="宋体"/>
          <w:b w:val="0"/>
          <w:bCs w:val="0"/>
          <w:color w:val="000000" w:themeColor="text1"/>
          <w:position w:val="0"/>
          <w:sz w:val="21"/>
          <w:szCs w:val="21"/>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年  月  日              </w:t>
      </w:r>
      <w:r>
        <w:rPr>
          <w:rFonts w:hint="eastAsia"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 </w:t>
      </w:r>
      <w:r>
        <w:rPr>
          <w:rFonts w:hint="eastAsia" w:hAnsi="宋体" w:cs="宋体"/>
          <w:b w:val="0"/>
          <w:bCs w:val="0"/>
          <w:color w:val="000000" w:themeColor="text1"/>
          <w:position w:val="0"/>
          <w:sz w:val="21"/>
          <w:szCs w:val="21"/>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签字日期：</w:t>
      </w:r>
      <w:r>
        <w:rPr>
          <w:rFonts w:hint="eastAsia" w:hAnsi="宋体" w:cs="宋体"/>
          <w:b w:val="0"/>
          <w:bCs w:val="0"/>
          <w:color w:val="000000" w:themeColor="text1"/>
          <w:position w:val="0"/>
          <w:sz w:val="21"/>
          <w:szCs w:val="21"/>
          <w:highlight w:val="none"/>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年  月  日</w:t>
      </w:r>
      <w:r/>
    </w:p>
    <w:p>
      <w:pPr>
        <w:numPr>
          <w:ilvl w:val="0"/>
          <w:numId w:val="0"/>
        </w:numPr>
        <w:ind w:right="-275"/>
        <w:jc w:val="center"/>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275"/>
        <w:jc w:val="both"/>
        <w:spacing w:after="163" w:line="460" w:lineRule="exact"/>
        <w:tabs>
          <w:tab w:val="left" w:pos="900" w:leader="none"/>
        </w:tabs>
        <w:rPr>
          <w:rFonts w:hint="eastAsia" w:cs="宋体" w:asciiTheme="majorEastAsia" w:hAnsiTheme="majorEastAsia" w:eastAsiaTheme="majorEastAsia"/>
          <w:color w:val="000000" w:themeColor="text1"/>
          <w:sz w:val="32"/>
          <w:szCs w:val="32"/>
          <w14:textFill>
            <w14:solidFill>
              <w14:schemeClr w14:val="tx1"/>
            </w14:solidFill>
          </w14:textFill>
        </w:rPr>
      </w:pPr>
      <w:r>
        <w:rPr>
          <w:rFonts w:hint="eastAsia" w:cs="宋体" w:asciiTheme="majorEastAsia" w:hAnsiTheme="majorEastAsia" w:eastAsiaTheme="majorEastAsia"/>
          <w:color w:val="000000" w:themeColor="text1"/>
          <w:sz w:val="32"/>
          <w:szCs w:val="32"/>
          <w14:textFill>
            <w14:solidFill>
              <w14:schemeClr w14:val="tx1"/>
            </w14:solidFill>
          </w14:textFill>
        </w:rPr>
      </w:r>
      <w:r/>
    </w:p>
    <w:p>
      <w:pPr>
        <w:numPr>
          <w:ilvl w:val="0"/>
          <w:numId w:val="0"/>
        </w:numPr>
        <w:ind w:right="0"/>
        <w:jc w:val="center"/>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bCs/>
          <w:color w:val="000000" w:themeColor="text1"/>
          <w:sz w:val="32"/>
          <w:szCs w:val="32"/>
          <w:lang w:val="en-US" w:eastAsia="zh-CN" w:bidi="ar-SA"/>
          <w14:textFill>
            <w14:solidFill>
              <w14:schemeClr w14:val="tx1"/>
            </w14:solidFill>
          </w14:textFill>
        </w:rPr>
        <w:t xml:space="preserve">安全生产合同</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为在合同的实施过程中创造安全、高效的施工环境，切实搞好本项目的安全管理工作，本项目甲方与乙方特此签订安全生产合同：</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一、甲方职责</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1、严格遵守国家有关安全生产的法律、认真执行工程承包合同中的有关安全要求。</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2、不得对乙方提出不符合建设工程安全生产法律、法规和强制性标准规定要求。</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3、不得明示或暗示乙方购买、租赁、使用不符合安全施工要求的安全防护用具、机械设备、施工机具及配件。</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二、乙方职责</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1、乙方应遵守国家工程建设安全生产有关管理规定，严格按安全标准组织施工，采取一切必要的安全措施，消除事故隐患，确保施工安全，并对施工现场发生的一切安全问题负责。</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2、坚持“安全第一、预防为主”和“管生产必须管安全”的原则，加强安全生产宣传教育，增强全员安全生产意识，建立健全各项安全生产的管理机构和安全生产管理制度，配备专职及兼职安 全坚持人员，有组织有计划地开展安全生产活动。各级领导、工程技术人员、生产管理人员和具体 操作人员，必须熟悉和遵守本条款的各项规定，做到生产与安全工作同时计划、布置、检查、总结和评比。</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建立健全安全生产责任制。从派驻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 1%-3% 配备安全员，专职负责所有员工的安全和治安保卫工作及预防事故的发生。安全机构人员，有权按有关规定发布指令，并采取保护性措施防止事故发生。</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4、乙方在任何时候都应采取各种合理的预防措施，防止其员工发生任何违法、违禁、暴力或妨碍治安的行为。</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乙方参加安装的人员必须接受三级安全教育，熟知和遵守本工种的各项安全技术操作规程，定期进行安全技术考核，合格者方准上岗操作。对于从事电气、起重、建筑登高架设作业、锅炉、压力容器、焊接、水上机动车船驾驶、爆破、潜水、瓦斯检验等特殊工种作业现象时，项目负责人必须承担管理责任。</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6、乙方须充分考虑设备安装等施工作业等对安全的影响，发生的一切安全问题均与甲方无关，且交付使用期不予顺延、费用不予增加。</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7、乙方必须为场地内自有人员办理意外伤害保险，并为场地内自有人员生命财产和施工机械设备办理保险，支付保险费用。</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8、对于易燃、易爆的材料除应专门妥善保管之外，还应配备有足够的消防设施。所有项目实施人员都应熟悉消防设备的性能和使用方法；乙方不得将任何种类的爆炸物给予、易货或以其他方式转让给任何其他人，或允许、容忍上述同样行为。</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9、操作人员上岗，必须按规定穿戴防护用品。项目负责人和安全检查员应随时检查劳动防护用品的穿戴情况，不按规定穿戴防护用品的人员不得上岗。</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10、所用施工机具设备均应定期检查，并有安全员的签字记录，保证其经常处于完好状态；不合格的机具、设备和劳动保护用品严禁使用。</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11、施工中采用新技术、新工艺、新设备、新材料时，必须制定相应的安全技术措施，技术措施，施工现场必须具有相关的安全标志牌。</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12、施工现场必须具有相关的安全技术资料建立档案，并确定专人管理，安全技术资料应当真实、完整齐全。</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13、乙方应当接受甲方及政府安全监督机构对其安全生产的监督检查。对于检查单位下达的整 改意见通知，乙方要立即予以整改，由此发生的费用乙方自负。对于因此而造成工期延误的，乙方还要按合同规定向甲方支付违约金。</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14、乙方必须按照本项目特点，组织制定本工程实施中的生产安全专项方案和事故应急救援预案；如果发生安全事故， 应按照有关规定，及时上报有关部门，并坚持“三不放过”的原则，严肃处理相关责任。</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15、乙方应按有关规定在施工现场及周边环境设置必要的道路施工安全标志、警示标志、禁行 标志等交通安全设施。必要时实施封闭施工，同时加强雨、雪等恶劣天气及夜间的值班巡查，确保车辆和行人安全。</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16、发生重大伤亡及其他安全事故，乙方应按有关规定立即上报有关部门并通知现场工程师，同时按政府有关部门要求处理。</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三、 违约责任</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1、乙方应对发生在自本项目合同签订至缺陷责任期满期间的交通安全、施工安全事故（包括人员）负全部法律责任，并承担由此而发生的一切经济损失。</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2、如乙方发生安全事故不及时妥善处理，引起纠纷或诉讼，甲方有权扣留其履约保证金和未付工程款用于支付事故处理费用。</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3、本合同由双方法定代表人或其授权的代理人签署与加盖公章后生效， 全部项目竣工验收合格后交付使用后失效。</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甲      方：  （公章）</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乙      方： （公章）</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法定代表人或</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法定代表人或</w:t>
      </w:r>
      <w:r/>
    </w:p>
    <w:p>
      <w:pPr>
        <w:numPr>
          <w:ilvl w:val="0"/>
          <w:numId w:val="0"/>
        </w:numPr>
        <w:ind w:righ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委托代理人（签字或盖章）：</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委托代理人（签字或盖章）：</w:t>
      </w:r>
      <w:r/>
    </w:p>
    <w:p>
      <w:pPr>
        <w:numPr>
          <w:ilvl w:val="0"/>
          <w:numId w:val="0"/>
        </w:numPr>
        <w:ind w:right="0" w:firstLine="420"/>
        <w:jc w:val="right"/>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日期： 202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年  月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日</w:t>
      </w:r>
      <w:r/>
    </w:p>
    <w:p>
      <w:pPr>
        <w:numPr>
          <w:ilvl w:val="0"/>
          <w:numId w:val="0"/>
        </w:numPr>
        <w:ind w:right="-275"/>
        <w:jc w:val="center"/>
        <w:spacing w:after="163" w:line="240" w:lineRule="auto"/>
        <w:tabs>
          <w:tab w:val="left" w:pos="900" w:leader="none"/>
        </w:tabs>
        <w:rPr>
          <w:rFonts w:hint="eastAsia" w:cs="宋体" w:asciiTheme="majorEastAsia" w:hAnsiTheme="majorEastAsia" w:eastAsiaTheme="maj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bCs/>
          <w:color w:val="000000" w:themeColor="text1"/>
          <w:sz w:val="32"/>
          <w:szCs w:val="32"/>
          <w:lang w:val="en-US" w:eastAsia="zh-CN" w:bidi="ar-SA"/>
          <w14:textFill>
            <w14:solidFill>
              <w14:schemeClr w14:val="tx1"/>
            </w14:solidFill>
          </w14:textFill>
        </w:rPr>
        <w:t xml:space="preserve">廉政合同</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甲方：</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乙方：</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为强化抓源治本工作力度，从制度机制上进一步规范项目实施行为，杜绝不廉洁行为，特订立本合同，双方遵照执行。</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1、甲方、乙方双方必须严格遵守国家法律、法规、政策及各项廉政规定， 恪守职业道德规范。</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2、甲方、乙方双方在具体工程建设行为中，必须严格遵守招投标法规定的原则、方式、程序，保证公平、公正、公开。</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3、甲方、乙方双方不得相互串通，损害国家利益、社会公共利益及其他当事人的合法权益。</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4、甲方工作人员及其配偶、子女不得以任何形式或名义索要、接受乙方的现金、有价证券、支付凭证和其他馈赠礼品； 乙方不得以任何形式或名义向甲方工作人员及其配偶、子女、评标人员赠送现金、有价证券、支付凭证和礼品或采取其他不正当手段谋取利益。</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6、甲方工作人员及其配偶、子女不得以打“业务牌 ”等形式变相接受乙方的钱物；乙方不得以打“业务牌”的形式向甲方工作人员及其配偶、子女变相送钱物。</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7、甲方工作人员及其配偶、子女不得在乙方报销应由个人支付的费用或领取报酬；乙方不得为甲方工作人员及其配偶、子女报销应由个人支付的费用或发放报酬。</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违约责任：</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1、甲方发生违约行为，一经查实将视情节轻重对直接责任人进行严肃处理并追究主管人员的责任。</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2、乙方发生违约行为，甲方有权解除合同，并将其列入“黑名单 ”在一定范围内公布，三年内不得参加辖区内的项目建设。</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      方：  （公章）</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乙      方： （公章）</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法定代表人或</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法定代表人或</w:t>
      </w:r>
      <w:r/>
    </w:p>
    <w:p>
      <w:pPr>
        <w:numPr>
          <w:ilvl w:val="0"/>
          <w:numId w:val="0"/>
        </w:numPr>
        <w:ind w:right="0" w:firstLine="420"/>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委托代理人（签字或盖章）：</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委托代理人（签字或盖章）：</w:t>
      </w:r>
      <w:r/>
    </w:p>
    <w:p>
      <w:pPr>
        <w:numPr>
          <w:ilvl w:val="0"/>
          <w:numId w:val="0"/>
        </w:numPr>
        <w:ind w:right="0"/>
        <w:jc w:val="right"/>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日期：202</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5</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年</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月</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14:textFill>
            <w14:solidFill>
              <w14:schemeClr w14:val="tx1"/>
            </w14:solidFill>
          </w14:textFill>
        </w:rPr>
        <w:t xml:space="preserve">日</w:t>
      </w:r>
      <w:bookmarkEnd w:id="157"/>
      <w:r/>
      <w:bookmarkStart w:id="158" w:name="_Hlt16619350"/>
      <w:r/>
      <w:bookmarkStart w:id="159" w:name="_Toc120614244"/>
      <w:r/>
      <w:bookmarkStart w:id="160" w:name="_Toc20823346"/>
      <w:r/>
      <w:bookmarkStart w:id="161" w:name="_Toc16938590"/>
      <w:r/>
      <w:bookmarkStart w:id="162" w:name="_Toc479757211"/>
      <w:r/>
      <w:bookmarkStart w:id="163" w:name="_Toc462564139"/>
      <w:r/>
      <w:r/>
    </w:p>
    <w:p>
      <w:pPr>
        <w:numPr>
          <w:ilvl w:val="0"/>
          <w:numId w:val="0"/>
        </w:numPr>
        <w:ind w:right="0"/>
        <w:jc w:val="right"/>
        <w:keepLines w:val="0"/>
        <w:keepNext w:val="0"/>
        <w:pageBreakBefore w:val="0"/>
        <w:spacing w:line="360" w:lineRule="auto"/>
        <w:widowControl w:val="off"/>
        <w:tabs>
          <w:tab w:val="left" w:pos="90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r>
      <w:r/>
    </w:p>
    <w:p>
      <w:pPr>
        <w:pStyle w:val="764"/>
        <w:ind w:left="0"/>
        <w:jc w:val="left"/>
        <w:pageBreakBefore w:val="0"/>
        <w:spacing w:beforeAutospacing="0" w:afterAutospacing="0" w:line="360" w:lineRule="auto"/>
        <w:widowControl w:val="off"/>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附件：</w:t>
      </w:r>
      <w:r/>
    </w:p>
    <w:p>
      <w:pPr>
        <w:ind w:firstLine="0"/>
        <w:jc w:val="center"/>
        <w:spacing w:line="360" w:lineRule="auto"/>
        <w:rPr>
          <w:rFonts w:hint="eastAsia" w:ascii="宋体" w:hAnsi="宋体" w:eastAsia="宋体" w:cs="宋体"/>
          <w:color w:val="000000" w:themeColor="text1"/>
          <w:sz w:val="44"/>
          <w:szCs w:val="44"/>
          <w14:textFill>
            <w14:solidFill>
              <w14:schemeClr w14:val="tx1"/>
            </w14:solidFill>
          </w14:textFill>
        </w:rPr>
      </w:pPr>
      <w:r/>
      <w:bookmarkStart w:id="164" w:name="MOFFICE_OUTDOC_NTDOC__TITLE"/>
      <w:r>
        <w:rPr>
          <w:rFonts w:hint="eastAsia" w:ascii="宋体" w:hAnsi="宋体" w:eastAsia="宋体" w:cs="宋体"/>
          <w:color w:val="000000" w:themeColor="text1"/>
          <w:sz w:val="44"/>
          <w:szCs w:val="44"/>
          <w14:textFill>
            <w14:solidFill>
              <w14:schemeClr w14:val="tx1"/>
            </w14:solidFill>
          </w14:textFill>
        </w:rPr>
        <w:t xml:space="preserve">政府采购合同履约验收书（参考格式）</w:t>
      </w:r>
      <w:r/>
    </w:p>
    <w:p>
      <w:pPr>
        <w:ind w:firstLine="420"/>
        <w:jc w:val="left"/>
        <w:spacing w:line="360" w:lineRule="auto"/>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根据政府采购合同（编号：          ）的约定，我单位组织对</w:t>
      </w:r>
      <w:r>
        <w:rPr>
          <w:rFonts w:hint="eastAsia" w:ascii="宋体" w:hAnsi="宋体" w:eastAsia="宋体" w:cs="宋体"/>
          <w:color w:val="000000" w:themeColor="text1"/>
          <w:szCs w:val="32"/>
          <w:u w:val="single"/>
          <w14:textFill>
            <w14:solidFill>
              <w14:schemeClr w14:val="tx1"/>
            </w14:solidFill>
          </w14:textFill>
        </w:rPr>
        <w:t xml:space="preserve">（项目名称）</w:t>
      </w:r>
      <w:r>
        <w:rPr>
          <w:rFonts w:hint="eastAsia" w:ascii="宋体" w:hAnsi="宋体" w:eastAsia="宋体" w:cs="宋体"/>
          <w:color w:val="000000" w:themeColor="text1"/>
          <w:szCs w:val="32"/>
          <w14:textFill>
            <w14:solidFill>
              <w14:schemeClr w14:val="tx1"/>
            </w14:solidFill>
          </w14:textFill>
        </w:rPr>
        <w:t xml:space="preserve">项目中标（成交）供应商</w:t>
      </w:r>
      <w:r>
        <w:rPr>
          <w:rFonts w:hint="eastAsia" w:ascii="宋体" w:hAnsi="宋体" w:eastAsia="宋体" w:cs="宋体"/>
          <w:color w:val="000000" w:themeColor="text1"/>
          <w:szCs w:val="32"/>
          <w:u w:val="single"/>
          <w14:textFill>
            <w14:solidFill>
              <w14:schemeClr w14:val="tx1"/>
            </w14:solidFill>
          </w14:textFill>
        </w:rPr>
        <w:t xml:space="preserve">（公司名称）</w:t>
      </w:r>
      <w:r>
        <w:rPr>
          <w:rFonts w:hint="eastAsia" w:ascii="宋体" w:hAnsi="宋体" w:eastAsia="宋体" w:cs="宋体"/>
          <w:color w:val="000000" w:themeColor="text1"/>
          <w:szCs w:val="32"/>
          <w14:textFill>
            <w14:solidFill>
              <w14:schemeClr w14:val="tx1"/>
            </w14:solidFill>
          </w14:textFill>
        </w:rPr>
        <w:t xml:space="preserve">提供的工程、服务进行了履约验收，验收情况如下：</w:t>
      </w:r>
      <w:bookmarkEnd w:id="164"/>
      <w:r/>
    </w:p>
    <w:tbl>
      <w:tblPr>
        <w:tblStyle w:val="69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892"/>
        <w:gridCol w:w="2613"/>
        <w:gridCol w:w="1905"/>
        <w:gridCol w:w="2874"/>
      </w:tblGrid>
      <w:tr>
        <w:trPr>
          <w:trHeight w:val="855"/>
        </w:trPr>
        <w:tc>
          <w:tcPr>
            <w:tcBorders>
              <w:top w:val="single" w:color="000000" w:sz="8" w:space="0"/>
              <w:left w:val="single" w:color="000000" w:sz="8"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项目名称</w:t>
            </w:r>
            <w:r/>
          </w:p>
        </w:tc>
        <w:tc>
          <w:tcPr>
            <w:tcBorders>
              <w:top w:val="single" w:color="000000" w:sz="8" w:space="0"/>
              <w:left w:val="none" w:color="000000" w:sz="4" w:space="0"/>
              <w:bottom w:val="single" w:color="000000" w:sz="4" w:space="0"/>
              <w:right w:val="single" w:color="000000" w:sz="4" w:space="0"/>
            </w:tcBorders>
            <w:tcW w:w="1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c>
          <w:tcPr>
            <w:tcBorders>
              <w:top w:val="single" w:color="000000" w:sz="8" w:space="0"/>
              <w:left w:val="none" w:color="000000" w:sz="4" w:space="0"/>
              <w:bottom w:val="single" w:color="000000" w:sz="4" w:space="0"/>
              <w:right w:val="single" w:color="000000" w:sz="4" w:space="0"/>
            </w:tcBorders>
            <w:tcW w:w="10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项目地点</w:t>
            </w:r>
            <w:r/>
          </w:p>
        </w:tc>
        <w:tc>
          <w:tcPr>
            <w:tcBorders>
              <w:top w:val="single" w:color="000000" w:sz="8" w:space="0"/>
              <w:left w:val="none" w:color="000000" w:sz="4" w:space="0"/>
              <w:bottom w:val="single" w:color="000000" w:sz="4" w:space="0"/>
              <w:right w:val="single" w:color="000000" w:sz="8" w:space="0"/>
            </w:tcBorders>
            <w:tcW w:w="15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r>
      <w:tr>
        <w:trPr>
          <w:trHeight w:val="855"/>
        </w:trPr>
        <w:tc>
          <w:tcPr>
            <w:tcBorders>
              <w:top w:val="none" w:color="000000" w:sz="4" w:space="0"/>
              <w:left w:val="single" w:color="000000" w:sz="8"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预算金额</w:t>
            </w:r>
            <w:r/>
          </w:p>
        </w:tc>
        <w:tc>
          <w:tcPr>
            <w:tcBorders>
              <w:top w:val="single" w:color="000000" w:sz="4" w:space="0"/>
              <w:left w:val="none" w:color="000000" w:sz="4" w:space="0"/>
              <w:bottom w:val="single" w:color="000000" w:sz="4" w:space="0"/>
              <w:right w:val="single" w:color="000000" w:sz="4" w:space="0"/>
            </w:tcBorders>
            <w:tcW w:w="1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0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承接单位</w:t>
            </w:r>
            <w:r/>
          </w:p>
        </w:tc>
        <w:tc>
          <w:tcPr>
            <w:tcBorders>
              <w:top w:val="none" w:color="000000" w:sz="4" w:space="0"/>
              <w:left w:val="single" w:color="000000" w:sz="4" w:space="0"/>
              <w:bottom w:val="single" w:color="000000" w:sz="4" w:space="0"/>
              <w:right w:val="single" w:color="000000" w:sz="8" w:space="0"/>
            </w:tcBorders>
            <w:tcW w:w="154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r>
      <w:tr>
        <w:trPr>
          <w:trHeight w:val="855"/>
        </w:trPr>
        <w:tc>
          <w:tcPr>
            <w:tcBorders>
              <w:top w:val="none" w:color="000000" w:sz="4" w:space="0"/>
              <w:left w:val="single" w:color="000000" w:sz="8"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合同时间</w:t>
            </w:r>
            <w:r/>
          </w:p>
        </w:tc>
        <w:tc>
          <w:tcPr>
            <w:tcBorders>
              <w:top w:val="single" w:color="000000" w:sz="4" w:space="0"/>
              <w:left w:val="none" w:color="000000" w:sz="4" w:space="0"/>
              <w:bottom w:val="single" w:color="000000" w:sz="4" w:space="0"/>
              <w:right w:val="single" w:color="000000" w:sz="4" w:space="0"/>
            </w:tcBorders>
            <w:tcW w:w="1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项目开始时间</w:t>
            </w:r>
            <w:r/>
          </w:p>
        </w:tc>
        <w:tc>
          <w:tcPr>
            <w:tcBorders>
              <w:top w:val="none" w:color="000000" w:sz="4" w:space="0"/>
              <w:left w:val="none" w:color="000000" w:sz="4" w:space="0"/>
              <w:bottom w:val="single" w:color="000000" w:sz="4" w:space="0"/>
              <w:right w:val="single" w:color="000000" w:sz="8" w:space="0"/>
            </w:tcBorders>
            <w:tcW w:w="15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r>
      <w:tr>
        <w:trPr>
          <w:trHeight w:val="855"/>
        </w:trPr>
        <w:tc>
          <w:tcPr>
            <w:tcBorders>
              <w:top w:val="none" w:color="000000" w:sz="4" w:space="0"/>
              <w:left w:val="single" w:color="000000" w:sz="8"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项目结束时间</w:t>
            </w:r>
            <w:r/>
          </w:p>
        </w:tc>
        <w:tc>
          <w:tcPr>
            <w:tcBorders>
              <w:top w:val="single" w:color="000000" w:sz="4" w:space="0"/>
              <w:left w:val="none" w:color="000000" w:sz="4" w:space="0"/>
              <w:bottom w:val="single" w:color="000000" w:sz="4" w:space="0"/>
              <w:right w:val="single" w:color="000000" w:sz="4" w:space="0"/>
            </w:tcBorders>
            <w:tcW w:w="14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项目联系人</w:t>
            </w:r>
            <w:r/>
          </w:p>
        </w:tc>
        <w:tc>
          <w:tcPr>
            <w:tcBorders>
              <w:top w:val="none" w:color="000000" w:sz="4" w:space="0"/>
              <w:left w:val="none" w:color="000000" w:sz="4" w:space="0"/>
              <w:bottom w:val="single" w:color="000000" w:sz="4" w:space="0"/>
              <w:right w:val="single" w:color="000000" w:sz="8" w:space="0"/>
            </w:tcBorders>
            <w:tcW w:w="15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r>
      <w:tr>
        <w:trPr>
          <w:trHeight w:val="1984"/>
        </w:trPr>
        <w:tc>
          <w:tcPr>
            <w:gridSpan w:val="4"/>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Cs w:val="32"/>
                <w14:textFill>
                  <w14:solidFill>
                    <w14:schemeClr w14:val="tx1"/>
                  </w14:solidFill>
                </w14:textFill>
              </w:rPr>
            </w:pPr>
            <w:r>
              <w:rPr>
                <w:rFonts w:hint="eastAsia" w:ascii="宋体" w:hAnsi="宋体" w:eastAsia="宋体" w:cs="宋体"/>
                <w:b/>
                <w:bCs/>
                <w:color w:val="000000" w:themeColor="text1"/>
                <w:szCs w:val="32"/>
                <w14:textFill>
                  <w14:solidFill>
                    <w14:schemeClr w14:val="tx1"/>
                  </w14:solidFill>
                </w14:textFill>
              </w:rPr>
              <w:t xml:space="preserve">验收情况和验收意见</w:t>
            </w:r>
            <w:r/>
          </w:p>
          <w:p>
            <w:pPr>
              <w:ind w:firstLine="0"/>
              <w:jc w:val="left"/>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（可另附）</w:t>
            </w:r>
            <w:r/>
          </w:p>
          <w:p>
            <w:pPr>
              <w:ind w:firstLine="0"/>
              <w:jc w:val="left"/>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tc>
      </w:tr>
      <w:tr>
        <w:trPr>
          <w:trHeight w:val="1984"/>
        </w:trPr>
        <w:tc>
          <w:tcPr>
            <w:gridSpan w:val="4"/>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验收小组（签字）：</w:t>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lang w:val="en-US" w:eastAsia="zh-CN"/>
                <w14:textFill>
                  <w14:solidFill>
                    <w14:schemeClr w14:val="tx1"/>
                  </w14:solidFill>
                </w14:textFill>
              </w:rPr>
            </w:pPr>
            <w:r>
              <w:rPr>
                <w:rFonts w:hint="eastAsia" w:ascii="宋体" w:hAnsi="宋体" w:eastAsia="宋体" w:cs="宋体"/>
                <w:color w:val="000000" w:themeColor="text1"/>
                <w:szCs w:val="32"/>
                <w:lang w:val="en-US" w:eastAsia="zh-CN"/>
                <w14:textFill>
                  <w14:solidFill>
                    <w14:schemeClr w14:val="tx1"/>
                  </w14:solidFill>
                </w14:textFill>
              </w:rPr>
              <w:t xml:space="preserve">  </w:t>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lang w:val="en-US" w:eastAsia="zh-CN"/>
                <w14:textFill>
                  <w14:solidFill>
                    <w14:schemeClr w14:val="tx1"/>
                  </w14:solidFill>
                </w14:textFill>
              </w:rPr>
            </w:pPr>
            <w:r>
              <w:rPr>
                <w:rFonts w:hint="eastAsia" w:ascii="宋体" w:hAnsi="宋体" w:eastAsia="宋体" w:cs="宋体"/>
                <w:color w:val="000000" w:themeColor="text1"/>
                <w:szCs w:val="32"/>
                <w:lang w:val="en-US" w:eastAsia="zh-CN"/>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lang w:val="en-US" w:eastAsia="zh-CN"/>
                <w14:textFill>
                  <w14:solidFill>
                    <w14:schemeClr w14:val="tx1"/>
                  </w14:solidFill>
                </w14:textFill>
              </w:rPr>
            </w:pPr>
            <w:r>
              <w:rPr>
                <w:rFonts w:hint="eastAsia" w:ascii="宋体" w:hAnsi="宋体" w:eastAsia="宋体" w:cs="宋体"/>
                <w:color w:val="000000" w:themeColor="text1"/>
                <w:szCs w:val="32"/>
                <w:lang w:val="en-US" w:eastAsia="zh-CN"/>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lang w:val="en-US" w:eastAsia="zh-CN"/>
                <w14:textFill>
                  <w14:solidFill>
                    <w14:schemeClr w14:val="tx1"/>
                  </w14:solidFill>
                </w14:textFill>
              </w:rPr>
            </w:pPr>
            <w:r>
              <w:rPr>
                <w:rFonts w:hint="eastAsia" w:ascii="宋体" w:hAnsi="宋体" w:eastAsia="宋体" w:cs="宋体"/>
                <w:color w:val="000000" w:themeColor="text1"/>
                <w:szCs w:val="32"/>
                <w:lang w:val="en-US" w:eastAsia="zh-CN"/>
                <w14:textFill>
                  <w14:solidFill>
                    <w14:schemeClr w14:val="tx1"/>
                  </w14:solidFill>
                </w14:textFill>
              </w:rPr>
            </w:r>
            <w:r/>
          </w:p>
          <w:p>
            <w:pPr>
              <w:ind w:firstLine="0"/>
              <w:jc w:val="right"/>
              <w:keepLines w:val="0"/>
              <w:keepNext w:val="0"/>
              <w:pageBreakBefore w:val="0"/>
              <w:spacing w:line="240" w:lineRule="auto"/>
              <w:widowControl w:val="off"/>
              <w:rPr>
                <w:rFonts w:hint="eastAsia" w:ascii="宋体" w:hAnsi="宋体" w:eastAsia="宋体" w:cs="宋体"/>
                <w:color w:val="000000" w:themeColor="text1"/>
                <w:szCs w:val="32"/>
                <w:lang w:val="en-US" w:eastAsia="zh-CN"/>
                <w14:textFill>
                  <w14:solidFill>
                    <w14:schemeClr w14:val="tx1"/>
                  </w14:solidFill>
                </w14:textFill>
              </w:rPr>
            </w:pPr>
            <w:r>
              <w:rPr>
                <w:rFonts w:hint="eastAsia" w:ascii="宋体" w:hAnsi="宋体" w:eastAsia="宋体" w:cs="宋体"/>
                <w:color w:val="000000" w:themeColor="text1"/>
                <w:szCs w:val="32"/>
                <w:lang w:val="en-US" w:eastAsia="zh-CN"/>
                <w14:textFill>
                  <w14:solidFill>
                    <w14:schemeClr w14:val="tx1"/>
                  </w14:solidFill>
                </w14:textFill>
              </w:rPr>
              <w:t xml:space="preserve">  年    月    日</w:t>
            </w:r>
            <w:r/>
          </w:p>
        </w:tc>
      </w:tr>
      <w:tr>
        <w:trPr>
          <w:trHeight w:val="1984"/>
        </w:trPr>
        <w:tc>
          <w:tcPr>
            <w:gridSpan w:val="4"/>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供应商确认意见（签章）：</w:t>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right"/>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lang w:val="en-US" w:eastAsia="zh-CN"/>
                <w14:textFill>
                  <w14:solidFill>
                    <w14:schemeClr w14:val="tx1"/>
                  </w14:solidFill>
                </w14:textFill>
              </w:rPr>
              <w:t xml:space="preserve">年    月    日</w:t>
            </w:r>
            <w:r/>
          </w:p>
        </w:tc>
      </w:tr>
      <w:tr>
        <w:trPr>
          <w:trHeight w:val="1984"/>
        </w:trPr>
        <w:tc>
          <w:tcPr>
            <w:gridSpan w:val="4"/>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t xml:space="preserve">采购人确认意见（签章）：</w:t>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both"/>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14:textFill>
                  <w14:solidFill>
                    <w14:schemeClr w14:val="tx1"/>
                  </w14:solidFill>
                </w14:textFill>
              </w:rPr>
            </w:r>
            <w:r/>
          </w:p>
          <w:p>
            <w:pPr>
              <w:ind w:firstLine="0"/>
              <w:jc w:val="right"/>
              <w:keepLines w:val="0"/>
              <w:keepNext w:val="0"/>
              <w:pageBreakBefore w:val="0"/>
              <w:spacing w:line="240" w:lineRule="auto"/>
              <w:widowControl w:val="off"/>
              <w:rPr>
                <w:rFonts w:hint="eastAsia" w:ascii="宋体" w:hAnsi="宋体" w:eastAsia="宋体" w:cs="宋体"/>
                <w:color w:val="000000" w:themeColor="text1"/>
                <w:szCs w:val="32"/>
                <w14:textFill>
                  <w14:solidFill>
                    <w14:schemeClr w14:val="tx1"/>
                  </w14:solidFill>
                </w14:textFill>
              </w:rPr>
            </w:pPr>
            <w:r>
              <w:rPr>
                <w:rFonts w:hint="eastAsia" w:ascii="宋体" w:hAnsi="宋体" w:eastAsia="宋体" w:cs="宋体"/>
                <w:color w:val="000000" w:themeColor="text1"/>
                <w:szCs w:val="32"/>
                <w:lang w:val="en-US" w:eastAsia="zh-CN"/>
                <w14:textFill>
                  <w14:solidFill>
                    <w14:schemeClr w14:val="tx1"/>
                  </w14:solidFill>
                </w14:textFill>
              </w:rPr>
              <w:t xml:space="preserve">年    月    日</w:t>
            </w:r>
            <w:r/>
          </w:p>
        </w:tc>
      </w:tr>
    </w:tbl>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tbl>
      <w:tblPr>
        <w:tblStyle w:val="69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690"/>
        <w:gridCol w:w="1137"/>
        <w:gridCol w:w="700"/>
        <w:gridCol w:w="3820"/>
        <w:gridCol w:w="869"/>
        <w:gridCol w:w="1010"/>
      </w:tblGrid>
      <w:tr>
        <w:trPr>
          <w:trHeight w:val="567"/>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240" w:lineRule="auto"/>
              <w:widowControl/>
              <w:rPr>
                <w:color w:val="000000" w:themeColor="text1"/>
                <w:sz w:val="24"/>
                <w14:textFill>
                  <w14:solidFill>
                    <w14:schemeClr w14:val="tx1"/>
                  </w14:solidFill>
                </w14:textFill>
              </w:rPr>
            </w:pPr>
            <w:r>
              <w:rPr>
                <w:rFonts w:hint="eastAsia" w:ascii="Times New Roman" w:eastAsia="宋体"/>
                <w:b/>
                <w:bCs/>
                <w:color w:val="000000" w:themeColor="text1"/>
                <w:sz w:val="32"/>
                <w:szCs w:val="32"/>
                <w:lang w:val="en-US" w:eastAsia="zh-CN"/>
                <w14:textFill>
                  <w14:solidFill>
                    <w14:schemeClr w14:val="tx1"/>
                  </w14:solidFill>
                </w14:textFill>
              </w:rPr>
              <w:t xml:space="preserve">城市</w:t>
            </w:r>
            <w:r>
              <w:rPr>
                <w:b/>
                <w:bCs/>
                <w:color w:val="000000" w:themeColor="text1"/>
                <w:sz w:val="32"/>
                <w:szCs w:val="32"/>
                <w14:textFill>
                  <w14:solidFill>
                    <w14:schemeClr w14:val="tx1"/>
                  </w14:solidFill>
                </w14:textFill>
              </w:rPr>
              <w:t xml:space="preserve">道路及城市桥梁月度考核评分表</w:t>
            </w:r>
            <w:r/>
          </w:p>
        </w:tc>
      </w:tr>
      <w:tr>
        <w:trPr>
          <w:trHeight w:val="567"/>
        </w:trPr>
        <w:tc>
          <w:tcPr>
            <w:gridSpan w:val="7"/>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right"/>
              <w:spacing w:line="240" w:lineRule="auto"/>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考核日期：</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年</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月</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日</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w:t>
            </w:r>
            <w:r/>
          </w:p>
        </w:tc>
        <w:tc>
          <w:tcPr>
            <w:gridSpan w:val="2"/>
            <w:tcBorders>
              <w:top w:val="none" w:color="000000" w:sz="4" w:space="0"/>
              <w:left w:val="none" w:color="000000" w:sz="4" w:space="0"/>
              <w:bottom w:val="single" w:color="auto" w:sz="4" w:space="0"/>
              <w:right w:val="single" w:color="auto" w:sz="4" w:space="0"/>
            </w:tcBorders>
            <w:tcW w:w="985"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考核内容</w:t>
            </w:r>
            <w:r/>
          </w:p>
        </w:tc>
        <w:tc>
          <w:tcPr>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分值</w:t>
            </w:r>
            <w:r/>
          </w:p>
        </w:tc>
        <w:tc>
          <w:tcPr>
            <w:tcBorders>
              <w:top w:val="none" w:color="000000" w:sz="4" w:space="0"/>
              <w:left w:val="none" w:color="000000" w:sz="4" w:space="0"/>
              <w:bottom w:val="single" w:color="auto" w:sz="4" w:space="0"/>
              <w:right w:val="single" w:color="auto" w:sz="4" w:space="0"/>
            </w:tcBorders>
            <w:tcW w:w="205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评分标准</w:t>
            </w:r>
            <w:r/>
          </w:p>
        </w:tc>
        <w:tc>
          <w:tcPr>
            <w:tcBorders>
              <w:top w:val="none" w:color="000000" w:sz="4" w:space="0"/>
              <w:left w:val="none" w:color="000000" w:sz="4" w:space="0"/>
              <w:bottom w:val="single" w:color="auto" w:sz="4" w:space="0"/>
              <w:right w:val="single" w:color="auto" w:sz="4" w:space="0"/>
            </w:tcBorders>
            <w:tcW w:w="4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得分</w:t>
            </w:r>
            <w:r/>
          </w:p>
        </w:tc>
        <w:tc>
          <w:tcPr>
            <w:tcBorders>
              <w:top w:val="single" w:color="auto" w:sz="4" w:space="0"/>
              <w:left w:val="none" w:color="000000" w:sz="4" w:space="0"/>
              <w:bottom w:val="single" w:color="auto" w:sz="4" w:space="0"/>
              <w:right w:val="single" w:color="auto" w:sz="4" w:space="0"/>
            </w:tcBorders>
            <w:tcW w:w="54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设施巡查</w:t>
            </w:r>
            <w:r/>
          </w:p>
        </w:tc>
        <w:tc>
          <w:tcPr>
            <w:gridSpan w:val="2"/>
            <w:tcBorders>
              <w:top w:val="none" w:color="000000" w:sz="4" w:space="0"/>
              <w:left w:val="none" w:color="000000" w:sz="4" w:space="0"/>
              <w:bottom w:val="single" w:color="auto" w:sz="4" w:space="0"/>
              <w:right w:val="single" w:color="auto" w:sz="4" w:space="0"/>
            </w:tcBorders>
            <w:tcW w:w="985" w:type="pct"/>
            <w:vAlign w:val="center"/>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严格按照相关技术规范进行巡查，确保巡查质量并做好巡查记录。</w:t>
            </w:r>
            <w:r/>
          </w:p>
        </w:tc>
        <w:tc>
          <w:tcPr>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2058" w:type="pct"/>
            <w:vAlign w:val="center"/>
            <w:textDirection w:val="lrTb"/>
            <w:noWrap w:val="false"/>
          </w:tcPr>
          <w:p>
            <w:pP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无巡查记录的，扣1分/次，未按照要求进行巡查，扣1分/次。</w:t>
            </w:r>
            <w:r/>
          </w:p>
        </w:tc>
        <w:tc>
          <w:tcPr>
            <w:tcBorders>
              <w:top w:val="none" w:color="000000" w:sz="4" w:space="0"/>
              <w:left w:val="none" w:color="000000" w:sz="4" w:space="0"/>
              <w:bottom w:val="single" w:color="auto" w:sz="4" w:space="0"/>
              <w:right w:val="single" w:color="auto" w:sz="4" w:space="0"/>
            </w:tcBorders>
            <w:tcW w:w="4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43"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right w:val="single" w:color="auto" w:sz="4" w:space="0"/>
            </w:tcBorders>
            <w:tcW w:w="568" w:type="pct"/>
            <w:vAlign w:val="center"/>
            <w:vMerge w:val="restart"/>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设施完好</w:t>
            </w:r>
            <w:r/>
          </w:p>
        </w:tc>
        <w:tc>
          <w:tcPr>
            <w:tcBorders>
              <w:top w:val="none" w:color="000000" w:sz="4" w:space="0"/>
              <w:left w:val="single" w:color="auto" w:sz="4" w:space="0"/>
              <w:right w:val="single" w:color="auto" w:sz="4" w:space="0"/>
            </w:tcBorders>
            <w:tcW w:w="372" w:type="pct"/>
            <w:vAlign w:val="center"/>
            <w:vMerge w:val="restart"/>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道路</w:t>
            </w:r>
            <w:r/>
          </w:p>
        </w:tc>
        <w:tc>
          <w:tcPr>
            <w:tcBorders>
              <w:top w:val="none" w:color="000000" w:sz="4" w:space="0"/>
              <w:left w:val="single" w:color="auto" w:sz="4" w:space="0"/>
              <w:bottom w:val="single" w:color="auto" w:sz="4" w:space="0"/>
              <w:right w:val="single" w:color="auto" w:sz="4" w:space="0"/>
            </w:tcBorders>
            <w:tcW w:w="612" w:type="pct"/>
            <w:vAlign w:val="center"/>
            <w:textDirection w:val="lrTb"/>
            <w:noWrap w:val="false"/>
          </w:tcPr>
          <w:p>
            <w:pPr>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沥青</w:t>
            </w:r>
            <w:r/>
          </w:p>
          <w:p>
            <w:pPr>
              <w:jc w:val="center"/>
              <w:spacing w:line="240" w:lineRule="auto"/>
              <w:widowControl/>
              <w:rPr>
                <w:color w:val="000000" w:themeColor="text1"/>
                <w:szCs w:val="21"/>
                <w14:textFill>
                  <w14:solidFill>
                    <w14:schemeClr w14:val="tx1"/>
                  </w14:solidFill>
                </w14:textFill>
              </w:rPr>
            </w:pPr>
            <w:r>
              <w:rPr>
                <w:color w:val="000000" w:themeColor="text1"/>
                <w14:textFill>
                  <w14:solidFill>
                    <w14:schemeClr w14:val="tx1"/>
                  </w14:solidFill>
                </w14:textFill>
              </w:rPr>
              <w:t xml:space="preserve">混凝土</w:t>
            </w:r>
            <w:r/>
          </w:p>
        </w:tc>
        <w:tc>
          <w:tcPr>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rFonts w:hint="eastAsia" w:eastAsia="宋体"/>
                <w:color w:val="000000" w:themeColor="text1"/>
                <w:szCs w:val="21"/>
                <w:lang w:eastAsia="zh-CN"/>
                <w14:textFill>
                  <w14:solidFill>
                    <w14:schemeClr w14:val="tx1"/>
                  </w14:solidFill>
                </w14:textFill>
              </w:rPr>
            </w:pPr>
            <w:r>
              <w:rPr>
                <w:color w:val="000000" w:themeColor="text1"/>
                <w14:textFill>
                  <w14:solidFill>
                    <w14:schemeClr w14:val="tx1"/>
                  </w14:solidFill>
                </w14:textFill>
              </w:rPr>
              <w:t xml:space="preserve">裂缝、沉陷、车辙、松散、网裂、烂边、啃边等，扣0.5分/平方米</w:t>
            </w:r>
            <w:r>
              <w:rPr>
                <w:rFonts w:hint="eastAsia" w:eastAsia="宋体"/>
                <w:color w:val="000000" w:themeColor="text1"/>
                <w:lang w:eastAsia="zh-CN"/>
                <w14:textFill>
                  <w14:solidFill>
                    <w14:schemeClr w14:val="tx1"/>
                  </w14:solidFill>
                </w14:textFill>
              </w:rPr>
              <w:t xml:space="preserve">。</w:t>
            </w:r>
            <w:r/>
          </w:p>
        </w:tc>
        <w:tc>
          <w:tcPr>
            <w:tcBorders>
              <w:top w:val="none" w:color="000000" w:sz="4" w:space="0"/>
              <w:left w:val="none" w:color="000000" w:sz="4" w:space="0"/>
              <w:right w:val="single" w:color="auto" w:sz="4" w:space="0"/>
            </w:tcBorders>
            <w:tcW w:w="468" w:type="pct"/>
            <w:vAlign w:val="center"/>
            <w:vMerge w:val="restart"/>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right w:val="single" w:color="auto" w:sz="4" w:space="0"/>
            </w:tcBorders>
            <w:tcW w:w="543" w:type="pct"/>
            <w:vAlign w:val="center"/>
            <w:vMerge w:val="restart"/>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left w:val="single" w:color="auto" w:sz="4" w:space="0"/>
              <w:right w:val="single" w:color="auto" w:sz="4" w:space="0"/>
            </w:tcBorders>
            <w:tcW w:w="568" w:type="pct"/>
            <w:vAlign w:val="center"/>
            <w:vMerge w:val="continue"/>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372" w:type="pct"/>
            <w:vAlign w:val="center"/>
            <w:vMerge w:val="continue"/>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12" w:type="pct"/>
            <w:vAlign w:val="center"/>
            <w:textDirection w:val="lrTb"/>
            <w:noWrap w:val="false"/>
          </w:tcPr>
          <w:p>
            <w:pPr>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水泥</w:t>
            </w:r>
            <w:r/>
          </w:p>
          <w:p>
            <w:pPr>
              <w:jc w:val="center"/>
              <w:spacing w:line="240" w:lineRule="auto"/>
              <w:widowControl/>
              <w:rPr>
                <w:color w:val="000000" w:themeColor="text1"/>
                <w:szCs w:val="21"/>
                <w14:textFill>
                  <w14:solidFill>
                    <w14:schemeClr w14:val="tx1"/>
                  </w14:solidFill>
                </w14:textFill>
              </w:rPr>
            </w:pPr>
            <w:r>
              <w:rPr>
                <w:color w:val="000000" w:themeColor="text1"/>
                <w14:textFill>
                  <w14:solidFill>
                    <w14:schemeClr w14:val="tx1"/>
                  </w14:solidFill>
                </w14:textFill>
              </w:rPr>
              <w:t xml:space="preserve">混凝土</w:t>
            </w:r>
            <w:r/>
          </w:p>
        </w:tc>
        <w:tc>
          <w:tcPr>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rFonts w:hint="eastAsia" w:eastAsia="宋体"/>
                <w:color w:val="000000" w:themeColor="text1"/>
                <w:szCs w:val="21"/>
                <w:lang w:eastAsia="zh-CN"/>
                <w14:textFill>
                  <w14:solidFill>
                    <w14:schemeClr w14:val="tx1"/>
                  </w14:solidFill>
                </w14:textFill>
              </w:rPr>
            </w:pPr>
            <w:r>
              <w:rPr>
                <w:color w:val="000000" w:themeColor="text1"/>
                <w14:textFill>
                  <w14:solidFill>
                    <w14:schemeClr w14:val="tx1"/>
                  </w14:solidFill>
                </w14:textFill>
              </w:rPr>
              <w:t xml:space="preserve">裂缝、错台拱胀、碎裂松动、坑洞、沉陷、唧泥、翻浆等，扣0.5分/平方米</w:t>
            </w:r>
            <w:r>
              <w:rPr>
                <w:rFonts w:hint="eastAsia" w:eastAsia="宋体"/>
                <w:color w:val="000000" w:themeColor="text1"/>
                <w:lang w:eastAsia="zh-CN"/>
                <w14:textFill>
                  <w14:solidFill>
                    <w14:schemeClr w14:val="tx1"/>
                  </w14:solidFill>
                </w14:textFill>
              </w:rPr>
              <w:t xml:space="preserve">。</w:t>
            </w:r>
            <w:r/>
          </w:p>
        </w:tc>
        <w:tc>
          <w:tcPr>
            <w:tcBorders>
              <w:left w:val="none" w:color="000000" w:sz="4" w:space="0"/>
              <w:right w:val="single" w:color="auto" w:sz="4" w:space="0"/>
            </w:tcBorders>
            <w:tcW w:w="468" w:type="pct"/>
            <w:vAlign w:val="center"/>
            <w:vMerge w:val="continue"/>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right w:val="single" w:color="auto" w:sz="4" w:space="0"/>
            </w:tcBorders>
            <w:tcW w:w="543" w:type="pct"/>
            <w:vAlign w:val="center"/>
            <w:vMerge w:val="continue"/>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12" w:type="pct"/>
            <w:vAlign w:val="center"/>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14:textFill>
                  <w14:solidFill>
                    <w14:schemeClr w14:val="tx1"/>
                  </w14:solidFill>
                </w14:textFill>
              </w:rPr>
              <w:t xml:space="preserve">人行道</w:t>
            </w:r>
            <w:r/>
          </w:p>
        </w:tc>
        <w:tc>
          <w:tcPr>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rFonts w:hint="eastAsia" w:eastAsia="宋体"/>
                <w:color w:val="000000" w:themeColor="text1"/>
                <w:szCs w:val="21"/>
                <w:lang w:eastAsia="zh-CN"/>
                <w14:textFill>
                  <w14:solidFill>
                    <w14:schemeClr w14:val="tx1"/>
                  </w14:solidFill>
                </w14:textFill>
              </w:rPr>
            </w:pPr>
            <w:r>
              <w:rPr>
                <w:color w:val="000000" w:themeColor="text1"/>
                <w14:textFill>
                  <w14:solidFill>
                    <w14:schemeClr w14:val="tx1"/>
                  </w14:solidFill>
                </w14:textFill>
              </w:rPr>
              <w:t xml:space="preserve">道板沉陷、缺损、拱起、松动、错位等，0.5分/平方米；侧平石、树围缺损、倾斜、移位、松动、勾缝不饱满等，扣0.5分/米</w:t>
            </w:r>
            <w:r>
              <w:rPr>
                <w:rFonts w:hint="eastAsia" w:eastAsia="宋体"/>
                <w:color w:val="000000" w:themeColor="text1"/>
                <w:lang w:eastAsia="zh-CN"/>
                <w14:textFill>
                  <w14:solidFill>
                    <w14:schemeClr w14:val="tx1"/>
                  </w14:solidFill>
                </w14:textFill>
              </w:rPr>
              <w:t xml:space="preserve">。</w:t>
            </w:r>
            <w:r/>
          </w:p>
        </w:tc>
        <w:tc>
          <w:tcPr>
            <w:tcBorders>
              <w:left w:val="none" w:color="000000" w:sz="4" w:space="0"/>
              <w:bottom w:val="single" w:color="auto" w:sz="4" w:space="0"/>
              <w:right w:val="single" w:color="auto" w:sz="4" w:space="0"/>
            </w:tcBorders>
            <w:tcW w:w="468" w:type="pct"/>
            <w:vAlign w:val="center"/>
            <w:vMerge w:val="continue"/>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43" w:type="pct"/>
            <w:vAlign w:val="center"/>
            <w:vMerge w:val="continue"/>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bottom w:val="single" w:color="auto" w:sz="4" w:space="0"/>
              <w:right w:val="single" w:color="auto" w:sz="4" w:space="0"/>
            </w:tcBorders>
            <w:tcW w:w="568"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985" w:type="pct"/>
            <w:vAlign w:val="center"/>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桥梁</w:t>
            </w:r>
            <w:r/>
          </w:p>
        </w:tc>
        <w:tc>
          <w:tcPr>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桥梁桥面铺装层及人行道有病害的，按道路扣分标准执行；桥梁有伸缩缝堵塞、变形、破</w:t>
            </w:r>
            <w:r>
              <w:rPr>
                <w:color w:val="000000" w:themeColor="text1"/>
                <w:szCs w:val="21"/>
                <w14:textFill>
                  <w14:solidFill>
                    <w14:schemeClr w14:val="tx1"/>
                  </w14:solidFill>
                </w14:textFill>
              </w:rPr>
              <w:t xml:space="preserve">损的，扣1分/桥；无支座、支座脱空、因严重剪切变形或老化而而失效的，扣1分/桥；有栏杆不牢固、锈蚀、倾斜缺失、露筋等病害的，扣1分/桥；缺失限高、限载等标志牌的，扣1分/桥；有桥头跳车的，扣1分/桥；桥梁梁体有砼剥落、坑洞、露筋锈蚀等，扣1分/桥；桥梁墩台的墩（台）身、立柱、台帽（盖梁）、侧墙（耳墙、翼墙）、挡墙、锥（护）坡等部件缺失、破损、开裂、露锈筋锈蚀等，扣1分/桥；有泄水孔堵塞、泄水孔盖缺损、落水管和伸缩缝排水挡板缺损等排水设施问题的，扣1分/桥；锈蚀等现象的，扣1分/桥；有其他病害的，扣1分/桥。</w:t>
            </w:r>
            <w:r/>
          </w:p>
        </w:tc>
        <w:tc>
          <w:tcPr>
            <w:tcBorders>
              <w:top w:val="none" w:color="000000" w:sz="4" w:space="0"/>
              <w:left w:val="none" w:color="000000" w:sz="4" w:space="0"/>
              <w:bottom w:val="single" w:color="auto" w:sz="4" w:space="0"/>
              <w:right w:val="single" w:color="auto" w:sz="4" w:space="0"/>
            </w:tcBorders>
            <w:tcW w:w="4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43"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养护维修施工管理</w:t>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安全文明施工管理</w:t>
            </w:r>
            <w:r/>
          </w:p>
        </w:tc>
        <w:tc>
          <w:tcPr>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w:t>
            </w:r>
            <w:r/>
          </w:p>
        </w:tc>
        <w:tc>
          <w:tcPr>
            <w:tcBorders>
              <w:top w:val="single" w:color="auto"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道路坑槽未及时修复而产生交通事故或造成人员伤亡的，扣5分/次；桥梁栏杆松动或缺失未及时处理而造成事故或人员伤亡的，扣5分/次；工程实施过程中出现安全事故，经交警部门鉴定为承包人责任的，由承包人自行承担责任，并扣2分；未能及时完成监理、业主布置的任务，</w:t>
            </w:r>
            <w:r>
              <w:rPr>
                <w:rFonts w:hint="eastAsia" w:ascii="Times New Roman" w:eastAsia="宋体"/>
                <w:color w:val="000000" w:themeColor="text1"/>
                <w:szCs w:val="21"/>
                <w:lang w:val="en-US" w:eastAsia="zh-CN"/>
                <w14:textFill>
                  <w14:solidFill>
                    <w14:schemeClr w14:val="tx1"/>
                  </w14:solidFill>
                </w14:textFill>
              </w:rPr>
              <w:t xml:space="preserve">逾期1小时</w:t>
            </w:r>
            <w:r>
              <w:rPr>
                <w:color w:val="000000" w:themeColor="text1"/>
                <w:szCs w:val="21"/>
                <w14:textFill>
                  <w14:solidFill>
                    <w14:schemeClr w14:val="tx1"/>
                  </w14:solidFill>
                </w14:textFill>
              </w:rPr>
              <w:t xml:space="preserve">扣1分/次、</w:t>
            </w:r>
            <w:r>
              <w:rPr>
                <w:rFonts w:hint="eastAsia" w:ascii="Times New Roman" w:eastAsia="宋体"/>
                <w:color w:val="000000" w:themeColor="text1"/>
                <w:szCs w:val="21"/>
                <w:lang w:val="en-US" w:eastAsia="zh-CN"/>
                <w14:textFill>
                  <w14:solidFill>
                    <w14:schemeClr w14:val="tx1"/>
                  </w14:solidFill>
                </w14:textFill>
              </w:rPr>
              <w:t xml:space="preserve">逾期2小时</w:t>
            </w:r>
            <w:r>
              <w:rPr>
                <w:color w:val="000000" w:themeColor="text1"/>
                <w:szCs w:val="21"/>
                <w14:textFill>
                  <w14:solidFill>
                    <w14:schemeClr w14:val="tx1"/>
                  </w14:solidFill>
                </w14:textFill>
              </w:rPr>
              <w:t xml:space="preserve">扣</w:t>
            </w:r>
            <w:r>
              <w:rPr>
                <w:rFonts w:hint="eastAsia" w:ascii="Times New Roman" w:eastAsia="宋体"/>
                <w:color w:val="000000" w:themeColor="text1"/>
                <w:szCs w:val="21"/>
                <w:lang w:val="en-US" w:eastAsia="zh-CN"/>
                <w14:textFill>
                  <w14:solidFill>
                    <w14:schemeClr w14:val="tx1"/>
                  </w14:solidFill>
                </w14:textFill>
              </w:rPr>
              <w:t xml:space="preserve">2</w:t>
            </w:r>
            <w:r>
              <w:rPr>
                <w:color w:val="000000" w:themeColor="text1"/>
                <w:szCs w:val="21"/>
                <w14:textFill>
                  <w14:solidFill>
                    <w14:schemeClr w14:val="tx1"/>
                  </w14:solidFill>
                </w14:textFill>
              </w:rPr>
              <w:t xml:space="preserve">分/次、</w:t>
            </w:r>
            <w:r>
              <w:rPr>
                <w:rFonts w:hint="eastAsia" w:ascii="Times New Roman" w:eastAsia="宋体"/>
                <w:color w:val="000000" w:themeColor="text1"/>
                <w:szCs w:val="21"/>
                <w:lang w:val="en-US" w:eastAsia="zh-CN"/>
                <w14:textFill>
                  <w14:solidFill>
                    <w14:schemeClr w14:val="tx1"/>
                  </w14:solidFill>
                </w14:textFill>
              </w:rPr>
              <w:t xml:space="preserve">逾期3小时</w:t>
            </w:r>
            <w:r>
              <w:rPr>
                <w:color w:val="000000" w:themeColor="text1"/>
                <w:szCs w:val="21"/>
                <w14:textFill>
                  <w14:solidFill>
                    <w14:schemeClr w14:val="tx1"/>
                  </w14:solidFill>
                </w14:textFill>
              </w:rPr>
              <w:t xml:space="preserve">扣</w:t>
            </w:r>
            <w:r>
              <w:rPr>
                <w:rFonts w:hint="eastAsia" w:ascii="Times New Roman" w:eastAsia="宋体"/>
                <w:color w:val="000000" w:themeColor="text1"/>
                <w:szCs w:val="21"/>
                <w:lang w:val="en-US" w:eastAsia="zh-CN"/>
                <w14:textFill>
                  <w14:solidFill>
                    <w14:schemeClr w14:val="tx1"/>
                  </w14:solidFill>
                </w14:textFill>
              </w:rPr>
              <w:t xml:space="preserve">3</w:t>
            </w:r>
            <w:r>
              <w:rPr>
                <w:color w:val="000000" w:themeColor="text1"/>
                <w:szCs w:val="21"/>
                <w14:textFill>
                  <w14:solidFill>
                    <w14:schemeClr w14:val="tx1"/>
                  </w14:solidFill>
                </w14:textFill>
              </w:rPr>
              <w:t xml:space="preserve">分/次</w:t>
            </w:r>
            <w:r>
              <w:rPr>
                <w:rFonts w:hint="eastAsia" w:eastAsia="宋体"/>
                <w:color w:val="000000" w:themeColor="text1"/>
                <w:szCs w:val="21"/>
                <w:lang w:eastAsia="zh-CN"/>
                <w14:textFill>
                  <w14:solidFill>
                    <w14:schemeClr w14:val="tx1"/>
                  </w14:solidFill>
                </w14:textFill>
              </w:rPr>
              <w:t xml:space="preserve">；</w:t>
            </w:r>
            <w:r>
              <w:rPr>
                <w:color w:val="000000" w:themeColor="text1"/>
                <w:szCs w:val="21"/>
                <w14:textFill>
                  <w14:solidFill>
                    <w14:schemeClr w14:val="tx1"/>
                  </w14:solidFill>
                </w14:textFill>
              </w:rPr>
              <w:t xml:space="preserve">对区域内其他市政、土建等项目的施工配合，若发生功能性影响的，需及时书面上报，未上报而自行处理的，扣1分/次；养护过程中发现需大修的项目需及时书面上报，未上报的，扣1分/次；施工及养护中未进行交通组织未对施工区域采取全封闭围护的，现场无警示牌导向的，扣1分/次；施工过程中或施工完备后垃圾或成品费料乱扔乱倒的，扣1分/处；施工完工后未及时的对施工区域进行清扫的扣1分/处。</w:t>
            </w:r>
            <w:r/>
          </w:p>
        </w:tc>
        <w:tc>
          <w:tcPr>
            <w:tcBorders>
              <w:top w:val="single" w:color="auto" w:sz="4" w:space="0"/>
              <w:left w:val="none" w:color="000000" w:sz="4" w:space="0"/>
              <w:bottom w:val="single" w:color="auto" w:sz="4" w:space="0"/>
              <w:right w:val="single" w:color="auto" w:sz="4" w:space="0"/>
            </w:tcBorders>
            <w:tcW w:w="468" w:type="pct"/>
            <w:vAlign w:val="center"/>
            <w:vMerge w:val="restart"/>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 w:type="pct"/>
            <w:vAlign w:val="center"/>
            <w:vMerge w:val="restart"/>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single" w:color="auto" w:sz="4" w:space="0"/>
              <w:left w:val="single" w:color="auto" w:sz="4" w:space="0"/>
              <w:right w:val="single" w:color="auto" w:sz="4" w:space="0"/>
            </w:tcBorders>
            <w:tcW w:w="568"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质量管理</w:t>
            </w:r>
            <w:r/>
          </w:p>
        </w:tc>
        <w:tc>
          <w:tcPr>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 xml:space="preserve">施工材料不符合要求的，扣1分/次；施工材料检测不合格的、扣1分/次；施工工序、工艺不符合要求的，扣1分/次</w:t>
            </w:r>
            <w:r>
              <w:rPr>
                <w:rFonts w:hint="eastAsia" w:eastAsia="宋体"/>
                <w:color w:val="000000" w:themeColor="text1"/>
                <w:szCs w:val="21"/>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468" w:type="pct"/>
            <w:vAlign w:val="center"/>
            <w:vMerge w:val="continue"/>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 w:type="pct"/>
            <w:vAlign w:val="center"/>
            <w:vMerge w:val="continue"/>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985"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进度、计划管理</w:t>
            </w:r>
            <w:r/>
          </w:p>
        </w:tc>
        <w:tc>
          <w:tcPr>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无养护计划或报表，扣1分/次；未按计划完成、扣1分/次；未及时完成监理、业主布置的任务，扣1分/次。</w:t>
            </w:r>
            <w:r/>
          </w:p>
        </w:tc>
        <w:tc>
          <w:tcPr>
            <w:tcBorders>
              <w:top w:val="single" w:color="auto" w:sz="4" w:space="0"/>
              <w:left w:val="none" w:color="000000" w:sz="4" w:space="0"/>
              <w:bottom w:val="single" w:color="auto" w:sz="4" w:space="0"/>
              <w:right w:val="single" w:color="auto" w:sz="4" w:space="0"/>
            </w:tcBorders>
            <w:tcW w:w="468" w:type="pct"/>
            <w:vAlign w:val="center"/>
            <w:vMerge w:val="continue"/>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 w:type="pct"/>
            <w:vAlign w:val="center"/>
            <w:vMerge w:val="continue"/>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bottom w:val="single" w:color="auto" w:sz="4" w:space="0"/>
              <w:right w:val="single" w:color="auto" w:sz="4" w:space="0"/>
            </w:tcBorders>
            <w:tcW w:w="568"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985"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资料管理</w:t>
            </w:r>
            <w:r/>
          </w:p>
        </w:tc>
        <w:tc>
          <w:tcPr>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 xml:space="preserve">养护台账、内部考核制度、维修制度、应急预案、巡查记录等不完善，资料不全</w:t>
            </w:r>
            <w:r>
              <w:rPr>
                <w:color w:val="000000" w:themeColor="text1"/>
                <w:szCs w:val="21"/>
                <w14:textFill>
                  <w14:solidFill>
                    <w14:schemeClr w14:val="tx1"/>
                  </w14:solidFill>
                </w14:textFill>
              </w:rPr>
              <w:t xml:space="preserve">扣1分/次</w:t>
            </w:r>
            <w:r>
              <w:rPr>
                <w:rFonts w:hint="eastAsia" w:eastAsia="宋体"/>
                <w:color w:val="000000" w:themeColor="text1"/>
                <w:szCs w:val="21"/>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468" w:type="pct"/>
            <w:vAlign w:val="center"/>
            <w:vMerge w:val="continue"/>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43" w:type="pct"/>
            <w:vAlign w:val="center"/>
            <w:vMerge w:val="continue"/>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设施保护</w:t>
            </w:r>
            <w:r/>
          </w:p>
        </w:tc>
        <w:tc>
          <w:tcPr>
            <w:gridSpan w:val="2"/>
            <w:tcBorders>
              <w:top w:val="none" w:color="000000" w:sz="4" w:space="0"/>
              <w:left w:val="none" w:color="000000" w:sz="4" w:space="0"/>
              <w:bottom w:val="single" w:color="auto" w:sz="4" w:space="0"/>
              <w:right w:val="single" w:color="auto" w:sz="4" w:space="0"/>
            </w:tcBorders>
            <w:tcW w:w="985" w:type="pct"/>
            <w:vAlign w:val="center"/>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维护路产路权，保护市政设施不被非法挖掘、占用。</w:t>
            </w:r>
            <w:r/>
          </w:p>
        </w:tc>
        <w:tc>
          <w:tcPr>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及时发现非法挖掘、占用市政设施、破坏雨水设施的，一件扣分1分；未及时报告管理部门的，一件扣1分；未及时制止并采取保护措施的，一件扣1分。擅自挖掘道路铺设管线或擅自改变原有设施状况的，一件扣2分。</w:t>
            </w:r>
            <w:r/>
          </w:p>
        </w:tc>
        <w:tc>
          <w:tcPr>
            <w:tcBorders>
              <w:top w:val="none" w:color="000000" w:sz="4" w:space="0"/>
              <w:left w:val="none" w:color="000000" w:sz="4" w:space="0"/>
              <w:bottom w:val="single" w:color="auto" w:sz="4" w:space="0"/>
              <w:right w:val="single" w:color="auto" w:sz="4" w:space="0"/>
            </w:tcBorders>
            <w:tcW w:w="4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43"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投诉处理</w:t>
            </w:r>
            <w:r/>
          </w:p>
        </w:tc>
        <w:tc>
          <w:tcPr>
            <w:gridSpan w:val="2"/>
            <w:tcBorders>
              <w:top w:val="none" w:color="000000" w:sz="4" w:space="0"/>
              <w:left w:val="none" w:color="000000" w:sz="4" w:space="0"/>
              <w:bottom w:val="single" w:color="auto" w:sz="4" w:space="0"/>
              <w:right w:val="single" w:color="auto" w:sz="4" w:space="0"/>
            </w:tcBorders>
            <w:tcW w:w="985" w:type="pct"/>
            <w:vAlign w:val="center"/>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快速回应并处置“12345”等公共服务热线、新闻媒体等反应的问题。</w:t>
            </w:r>
            <w:r/>
          </w:p>
        </w:tc>
        <w:tc>
          <w:tcPr>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2058"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养护失缺造成投诉的，一项扣1分；未在规定期限内处置的，一项扣1分；未按规范要求处置的，一项扣1分；同一事项重复投诉的，一项扣2分；被上级部门考核扣分的，一项扣2分。</w:t>
            </w:r>
            <w:r/>
          </w:p>
        </w:tc>
        <w:tc>
          <w:tcPr>
            <w:tcBorders>
              <w:top w:val="none" w:color="000000" w:sz="4" w:space="0"/>
              <w:left w:val="none" w:color="000000" w:sz="4" w:space="0"/>
              <w:bottom w:val="single" w:color="auto" w:sz="4" w:space="0"/>
              <w:right w:val="single" w:color="auto" w:sz="4" w:space="0"/>
            </w:tcBorders>
            <w:tcW w:w="4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43"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总分</w:t>
            </w:r>
            <w:r/>
          </w:p>
        </w:tc>
        <w:tc>
          <w:tcPr>
            <w:gridSpan w:val="2"/>
            <w:tcBorders>
              <w:top w:val="none" w:color="000000" w:sz="4" w:space="0"/>
              <w:left w:val="none" w:color="000000" w:sz="4" w:space="0"/>
              <w:bottom w:val="single" w:color="auto" w:sz="4" w:space="0"/>
              <w:right w:val="single" w:color="auto" w:sz="4" w:space="0"/>
            </w:tcBorders>
            <w:tcW w:w="985"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205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68"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43"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gridSpan w:val="4"/>
            <w:tcBorders>
              <w:top w:val="single" w:color="auto" w:sz="4" w:space="0"/>
              <w:left w:val="single" w:color="auto" w:sz="4" w:space="0"/>
              <w:bottom w:val="single" w:color="auto" w:sz="4" w:space="0"/>
              <w:right w:val="single" w:color="auto" w:sz="4" w:space="0"/>
            </w:tcBorders>
            <w:tcW w:w="1929" w:type="pct"/>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考核路段：</w:t>
            </w:r>
            <w:r/>
          </w:p>
        </w:tc>
        <w:tc>
          <w:tcPr>
            <w:gridSpan w:val="3"/>
            <w:tcBorders>
              <w:top w:val="single" w:color="auto" w:sz="4" w:space="0"/>
              <w:left w:val="none" w:color="000000" w:sz="4" w:space="0"/>
              <w:bottom w:val="single" w:color="auto" w:sz="4" w:space="0"/>
              <w:right w:val="single" w:color="auto" w:sz="4" w:space="0"/>
            </w:tcBorders>
            <w:tcW w:w="3070" w:type="pct"/>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考核人员签字：</w:t>
            </w:r>
            <w:r/>
          </w:p>
        </w:tc>
      </w:tr>
    </w:tbl>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tbl>
      <w:tblPr>
        <w:tblStyle w:val="69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467"/>
        <w:gridCol w:w="798"/>
        <w:gridCol w:w="644"/>
        <w:gridCol w:w="2746"/>
        <w:gridCol w:w="696"/>
        <w:gridCol w:w="958"/>
        <w:gridCol w:w="954"/>
        <w:gridCol w:w="963"/>
      </w:tblGrid>
      <w:tr>
        <w:trPr>
          <w:trHeight w:val="567"/>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400" w:lineRule="exact"/>
              <w:widowControl/>
              <w:rPr>
                <w:color w:val="000000" w:themeColor="text1"/>
                <w:sz w:val="24"/>
                <w14:textFill>
                  <w14:solidFill>
                    <w14:schemeClr w14:val="tx1"/>
                  </w14:solidFill>
                </w14:textFill>
              </w:rPr>
            </w:pPr>
            <w:r>
              <w:rPr>
                <w:rFonts w:hint="eastAsia"/>
                <w:b/>
                <w:bCs/>
                <w:color w:val="000000" w:themeColor="text1"/>
                <w:sz w:val="32"/>
                <w:szCs w:val="32"/>
                <w:lang w:val="en-US" w:eastAsia="zh-CN"/>
                <w14:textFill>
                  <w14:solidFill>
                    <w14:schemeClr w14:val="tx1"/>
                  </w14:solidFill>
                </w14:textFill>
              </w:rPr>
              <w:t xml:space="preserve">雨水管网</w:t>
            </w:r>
            <w:r>
              <w:rPr>
                <w:b/>
                <w:bCs/>
                <w:color w:val="000000" w:themeColor="text1"/>
                <w:sz w:val="32"/>
                <w:szCs w:val="32"/>
                <w14:textFill>
                  <w14:solidFill>
                    <w14:schemeClr w14:val="tx1"/>
                  </w14:solidFill>
                </w14:textFill>
              </w:rPr>
              <w:t xml:space="preserve">月度考核评分表</w:t>
            </w:r>
            <w:r/>
          </w:p>
        </w:tc>
      </w:tr>
      <w:tr>
        <w:trPr>
          <w:trHeight w:val="567"/>
        </w:trPr>
        <w:tc>
          <w:tcPr>
            <w:gridSpan w:val="9"/>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right"/>
              <w:spacing w:line="400" w:lineRule="exac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考核日期：</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年</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月</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日</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w:t>
            </w:r>
            <w:r/>
          </w:p>
        </w:tc>
        <w:tc>
          <w:tcPr>
            <w:gridSpan w:val="2"/>
            <w:tcBorders>
              <w:top w:val="none" w:color="000000" w:sz="4" w:space="0"/>
              <w:left w:val="none" w:color="000000" w:sz="4" w:space="0"/>
              <w:bottom w:val="single" w:color="auto" w:sz="4" w:space="0"/>
              <w:right w:val="single" w:color="auto" w:sz="4" w:space="0"/>
            </w:tcBorders>
            <w:tcW w:w="682"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考核内容</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分值</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评分标准</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得分</w:t>
            </w:r>
            <w:r/>
          </w:p>
        </w:tc>
        <w:tc>
          <w:tcPr>
            <w:tcBorders>
              <w:top w:val="single" w:color="auto" w:sz="4" w:space="0"/>
              <w:left w:val="none" w:color="000000" w:sz="4" w:space="0"/>
              <w:bottom w:val="single" w:color="auto" w:sz="4" w:space="0"/>
              <w:right w:val="single" w:color="auto" w:sz="4" w:space="0"/>
            </w:tcBorders>
            <w:tcW w:w="514"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c>
          <w:tcPr>
            <w:tcBorders>
              <w:top w:val="single" w:color="auto" w:sz="4" w:space="0"/>
              <w:left w:val="none" w:color="000000" w:sz="4" w:space="0"/>
              <w:bottom w:val="single" w:color="auto" w:sz="4" w:space="0"/>
              <w:right w:val="single" w:color="auto" w:sz="4" w:space="0"/>
            </w:tcBorders>
            <w:tcW w:w="514"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8"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设施巡查</w:t>
            </w:r>
            <w:r/>
          </w:p>
        </w:tc>
        <w:tc>
          <w:tcPr>
            <w:gridSpan w:val="2"/>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严格按照相关技术规范进行巡查，确保巡查质量并做好巡查记录。</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无巡查记录的，扣1分/次，未按照要求进行巡查，扣1分/次。</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none" w:color="000000" w:sz="4" w:space="0"/>
              <w:left w:val="single" w:color="auto" w:sz="4" w:space="0"/>
              <w:right w:val="single" w:color="auto" w:sz="4" w:space="0"/>
            </w:tcBorders>
            <w:tcW w:w="568" w:type="pct"/>
            <w:vAlign w:val="center"/>
            <w:vMerge w:val="restart"/>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设施完好</w:t>
            </w:r>
            <w:r/>
          </w:p>
        </w:tc>
        <w:tc>
          <w:tcPr>
            <w:tcBorders>
              <w:top w:val="none" w:color="000000" w:sz="4" w:space="0"/>
              <w:left w:val="single" w:color="auto" w:sz="4" w:space="0"/>
              <w:right w:val="single" w:color="auto" w:sz="4" w:space="0"/>
            </w:tcBorders>
            <w:tcW w:w="252" w:type="pct"/>
            <w:vAlign w:val="center"/>
            <w:vMerge w:val="restart"/>
            <w:textDirection w:val="lrTb"/>
            <w:noWrap w:val="false"/>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雨水管</w:t>
            </w:r>
            <w:r/>
          </w:p>
        </w:tc>
        <w:tc>
          <w:tcPr>
            <w:tcBorders>
              <w:top w:val="none" w:color="000000"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eastAsia" w:eastAsia="宋体"/>
                <w:color w:val="000000" w:themeColor="text1"/>
                <w:szCs w:val="2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管道</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沟管畅通无阻，管内积泥深度不能超过：</w:t>
            </w:r>
            <w:r>
              <w:rPr>
                <w:rFonts w:hint="eastAsia"/>
                <w:color w:val="000000" w:themeColor="text1"/>
                <w:lang w:val="en-US" w:eastAsia="zh-CN"/>
                <w14:textFill>
                  <w14:solidFill>
                    <w14:schemeClr w14:val="tx1"/>
                  </w14:solidFill>
                </w14:textFill>
              </w:rPr>
              <w:t xml:space="preserve">超过的</w:t>
            </w:r>
            <w:r>
              <w:rPr>
                <w:color w:val="000000" w:themeColor="text1"/>
                <w14:textFill>
                  <w14:solidFill>
                    <w14:schemeClr w14:val="tx1"/>
                  </w14:solidFill>
                </w14:textFill>
              </w:rPr>
              <w:t xml:space="preserve">扣</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次；</w:t>
            </w:r>
            <w:r/>
          </w:p>
          <w:p>
            <w:pPr>
              <w:jc w:val="left"/>
              <w:widowControl/>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≥φ600</w:t>
            </w:r>
            <w:r>
              <w:rPr>
                <w:rFonts w:hint="eastAsia"/>
                <w:color w:val="000000" w:themeColor="text1"/>
                <w14:textFill>
                  <w14:solidFill>
                    <w14:schemeClr w14:val="tx1"/>
                  </w14:solidFill>
                </w14:textFill>
              </w:rPr>
              <w:t xml:space="preserve">管 1/5 管径</w:t>
            </w:r>
            <w:r/>
          </w:p>
          <w:p>
            <w:pPr>
              <w:jc w:val="left"/>
              <w:widowControl/>
              <w:rPr>
                <w:rFonts w:hint="eastAsia" w:eastAsia="宋体"/>
                <w:color w:val="000000" w:themeColor="text1"/>
                <w:szCs w:val="2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≥φ300</w:t>
            </w:r>
            <w:r>
              <w:rPr>
                <w:rFonts w:hint="eastAsia"/>
                <w:color w:val="000000" w:themeColor="text1"/>
                <w14:textFill>
                  <w14:solidFill>
                    <w14:schemeClr w14:val="tx1"/>
                  </w14:solidFill>
                </w14:textFill>
              </w:rPr>
              <w:t xml:space="preserve">管 1/4 管径</w:t>
            </w:r>
            <w:r/>
          </w:p>
        </w:tc>
        <w:tc>
          <w:tcPr>
            <w:tcBorders>
              <w:top w:val="none" w:color="000000" w:sz="4" w:space="0"/>
              <w:left w:val="none" w:color="000000" w:sz="4" w:space="0"/>
              <w:right w:val="single" w:color="auto" w:sz="4" w:space="0"/>
            </w:tcBorders>
            <w:tcW w:w="375" w:type="pct"/>
            <w:vAlign w:val="center"/>
            <w:vMerge w:val="restart"/>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right w:val="single" w:color="auto" w:sz="4" w:space="0"/>
            </w:tcBorders>
            <w:tcW w:w="514" w:type="pct"/>
            <w:vAlign w:val="center"/>
            <w:vMerge w:val="restar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52" w:type="pct"/>
            <w:vAlign w:val="center"/>
            <w:vMerge w:val="continue"/>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eastAsia" w:eastAsia="宋体"/>
                <w:color w:val="000000" w:themeColor="text1"/>
                <w:szCs w:val="2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检查井</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hint="eastAsia"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积泥深度不能超过管底以下 5 厘米（不分管径）</w:t>
            </w:r>
            <w:r>
              <w:rPr>
                <w:rFonts w:hint="eastAsia"/>
                <w:color w:val="000000" w:themeColor="text1"/>
                <w:lang w:eastAsia="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井内清洁，四壁无老膏盖框平稳不动摇（包括铸铁和砼）</w:t>
            </w:r>
            <w:r/>
          </w:p>
          <w:p>
            <w:pPr>
              <w:jc w:val="left"/>
              <w:widowControl/>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超过的</w:t>
            </w:r>
            <w:r>
              <w:rPr>
                <w:color w:val="000000" w:themeColor="text1"/>
                <w14:textFill>
                  <w14:solidFill>
                    <w14:schemeClr w14:val="tx1"/>
                  </w14:solidFill>
                </w14:textFill>
              </w:rPr>
              <w:t xml:space="preserve">扣</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次；</w:t>
            </w:r>
            <w:r/>
          </w:p>
        </w:tc>
        <w:tc>
          <w:tcPr>
            <w:tcBorders>
              <w:left w:val="none" w:color="000000" w:sz="4" w:space="0"/>
              <w:right w:val="single" w:color="auto" w:sz="4" w:space="0"/>
            </w:tcBorders>
            <w:tcW w:w="37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right w:val="single" w:color="auto" w:sz="4" w:space="0"/>
            </w:tcBorders>
            <w:tcW w:w="514"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52" w:type="pct"/>
            <w:vAlign w:val="center"/>
            <w:vMerge w:val="continue"/>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支管</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hint="eastAsia" w:eastAsia="宋体"/>
                <w:color w:val="000000" w:themeColor="text1"/>
                <w:szCs w:val="21"/>
                <w:lang w:eastAsia="zh-CN"/>
                <w14:textFill>
                  <w14:solidFill>
                    <w14:schemeClr w14:val="tx1"/>
                  </w14:solidFill>
                </w14:textFill>
              </w:rPr>
            </w:pPr>
            <w:r>
              <w:rPr>
                <w:rFonts w:hint="eastAsia"/>
                <w:color w:val="000000" w:themeColor="text1"/>
                <w14:textFill>
                  <w14:solidFill>
                    <w14:schemeClr w14:val="tx1"/>
                  </w14:solidFill>
                </w14:textFill>
              </w:rPr>
              <w:t xml:space="preserve">保持畅通，积泥深度不超过 1/4 管径</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超过的</w:t>
            </w:r>
            <w:r>
              <w:rPr>
                <w:color w:val="000000" w:themeColor="text1"/>
                <w14:textFill>
                  <w14:solidFill>
                    <w14:schemeClr w14:val="tx1"/>
                  </w14:solidFill>
                </w14:textFill>
              </w:rPr>
              <w:t xml:space="preserve">扣</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次；</w:t>
            </w:r>
            <w:r/>
          </w:p>
        </w:tc>
        <w:tc>
          <w:tcPr>
            <w:tcBorders>
              <w:left w:val="none" w:color="000000" w:sz="4" w:space="0"/>
              <w:bottom w:val="single" w:color="auto" w:sz="4" w:space="0"/>
              <w:right w:val="single" w:color="auto" w:sz="4" w:space="0"/>
            </w:tcBorders>
            <w:tcW w:w="37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14"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252" w:type="pct"/>
            <w:vAlign w:val="center"/>
            <w:vMerge w:val="continue"/>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管道检测、报告</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管道检测量少于合同的定量，</w:t>
            </w:r>
            <w:r>
              <w:rPr>
                <w:color w:val="000000" w:themeColor="text1"/>
                <w:szCs w:val="21"/>
                <w14:textFill>
                  <w14:solidFill>
                    <w14:schemeClr w14:val="tx1"/>
                  </w14:solidFill>
                </w14:textFill>
              </w:rPr>
              <w:t xml:space="preserve">扣</w:t>
            </w:r>
            <w:r>
              <w:rPr>
                <w:rFonts w:hint="eastAsia"/>
                <w:color w:val="000000" w:themeColor="text1"/>
                <w:szCs w:val="21"/>
                <w:lang w:val="en-US" w:eastAsia="zh-CN"/>
                <w14:textFill>
                  <w14:solidFill>
                    <w14:schemeClr w14:val="tx1"/>
                  </w14:solidFill>
                </w14:textFill>
              </w:rPr>
              <w:t xml:space="preserve">2</w:t>
            </w:r>
            <w:r>
              <w:rPr>
                <w:color w:val="000000" w:themeColor="text1"/>
                <w:szCs w:val="21"/>
                <w14:textFill>
                  <w14:solidFill>
                    <w14:schemeClr w14:val="tx1"/>
                  </w14:solidFill>
                </w14:textFill>
              </w:rPr>
              <w:t xml:space="preserve">分/次，</w:t>
            </w:r>
            <w:r>
              <w:rPr>
                <w:rFonts w:hint="eastAsia"/>
                <w:color w:val="000000" w:themeColor="text1"/>
                <w:szCs w:val="21"/>
                <w:lang w:val="en-US" w:eastAsia="zh-CN"/>
                <w14:textFill>
                  <w14:solidFill>
                    <w14:schemeClr w14:val="tx1"/>
                  </w14:solidFill>
                </w14:textFill>
              </w:rPr>
              <w:t xml:space="preserve">未按要求出具检测报告的，</w:t>
            </w:r>
            <w:r>
              <w:rPr>
                <w:color w:val="000000" w:themeColor="text1"/>
                <w:szCs w:val="21"/>
                <w14:textFill>
                  <w14:solidFill>
                    <w14:schemeClr w14:val="tx1"/>
                  </w14:solidFill>
                </w14:textFill>
              </w:rPr>
              <w:t xml:space="preserve">扣</w:t>
            </w:r>
            <w:r>
              <w:rPr>
                <w:rFonts w:hint="eastAsia"/>
                <w:color w:val="000000" w:themeColor="text1"/>
                <w:szCs w:val="21"/>
                <w:lang w:val="en-US" w:eastAsia="zh-CN"/>
                <w14:textFill>
                  <w14:solidFill>
                    <w14:schemeClr w14:val="tx1"/>
                  </w14:solidFill>
                </w14:textFill>
              </w:rPr>
              <w:t xml:space="preserve">1</w:t>
            </w:r>
            <w:r>
              <w:rPr>
                <w:color w:val="000000" w:themeColor="text1"/>
                <w:szCs w:val="21"/>
                <w14:textFill>
                  <w14:solidFill>
                    <w14:schemeClr w14:val="tx1"/>
                  </w14:solidFill>
                </w14:textFill>
              </w:rPr>
              <w:t xml:space="preserve">分/次</w:t>
            </w:r>
            <w:r>
              <w:rPr>
                <w:rFonts w:hint="eastAsia"/>
                <w:color w:val="000000" w:themeColor="text1"/>
                <w:szCs w:val="21"/>
                <w:lang w:eastAsia="zh-CN"/>
                <w14:textFill>
                  <w14:solidFill>
                    <w14:schemeClr w14:val="tx1"/>
                  </w14:solidFill>
                </w14:textFill>
              </w:rPr>
              <w:t xml:space="preserve">。</w:t>
            </w:r>
            <w:r/>
          </w:p>
        </w:tc>
        <w:tc>
          <w:tcPr>
            <w:tcBorders>
              <w:left w:val="none" w:color="000000" w:sz="4" w:space="0"/>
              <w:bottom w:val="single" w:color="auto" w:sz="4" w:space="0"/>
              <w:right w:val="single" w:color="auto" w:sz="4" w:space="0"/>
            </w:tcBorders>
            <w:tcW w:w="37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养护维修施工管理</w:t>
            </w:r>
            <w:r/>
          </w:p>
        </w:tc>
        <w:tc>
          <w:tcPr>
            <w:gridSpan w:val="2"/>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安全文明施工管理</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积水</w:t>
            </w:r>
            <w:r>
              <w:rPr>
                <w:color w:val="000000" w:themeColor="text1"/>
                <w:szCs w:val="21"/>
                <w14:textFill>
                  <w14:solidFill>
                    <w14:schemeClr w14:val="tx1"/>
                  </w14:solidFill>
                </w14:textFill>
              </w:rPr>
              <w:t xml:space="preserve">未及时</w:t>
            </w:r>
            <w:r>
              <w:rPr>
                <w:rFonts w:hint="eastAsia"/>
                <w:color w:val="000000" w:themeColor="text1"/>
                <w:szCs w:val="21"/>
                <w:lang w:val="en-US" w:eastAsia="zh-CN"/>
                <w14:textFill>
                  <w14:solidFill>
                    <w14:schemeClr w14:val="tx1"/>
                  </w14:solidFill>
                </w14:textFill>
              </w:rPr>
              <w:t xml:space="preserve">处理</w:t>
            </w:r>
            <w:r>
              <w:rPr>
                <w:color w:val="000000" w:themeColor="text1"/>
                <w:szCs w:val="21"/>
                <w14:textFill>
                  <w14:solidFill>
                    <w14:schemeClr w14:val="tx1"/>
                  </w14:solidFill>
                </w14:textFill>
              </w:rPr>
              <w:t xml:space="preserve">而产生交通事故或造成人员伤亡的，扣5分/次；工程实施过程中出现安全事故，经交警部门鉴定为承包人责任的，由承包人自行承担责任，并扣2分；未能及时完成监理、业主布置的任务，</w:t>
            </w:r>
            <w:r>
              <w:rPr>
                <w:rFonts w:hint="eastAsia"/>
                <w:color w:val="000000" w:themeColor="text1"/>
                <w:szCs w:val="21"/>
                <w:lang w:val="en-US" w:eastAsia="zh-CN"/>
                <w14:textFill>
                  <w14:solidFill>
                    <w14:schemeClr w14:val="tx1"/>
                  </w14:solidFill>
                </w14:textFill>
              </w:rPr>
              <w:t xml:space="preserve">逾期1小时</w:t>
            </w:r>
            <w:r>
              <w:rPr>
                <w:color w:val="000000" w:themeColor="text1"/>
                <w:szCs w:val="21"/>
                <w14:textFill>
                  <w14:solidFill>
                    <w14:schemeClr w14:val="tx1"/>
                  </w14:solidFill>
                </w14:textFill>
              </w:rPr>
              <w:t xml:space="preserve">扣1分/次、</w:t>
            </w:r>
            <w:r>
              <w:rPr>
                <w:rFonts w:hint="eastAsia"/>
                <w:color w:val="000000" w:themeColor="text1"/>
                <w:szCs w:val="21"/>
                <w:lang w:val="en-US" w:eastAsia="zh-CN"/>
                <w14:textFill>
                  <w14:solidFill>
                    <w14:schemeClr w14:val="tx1"/>
                  </w14:solidFill>
                </w14:textFill>
              </w:rPr>
              <w:t xml:space="preserve">逾期2小时</w:t>
            </w:r>
            <w:r>
              <w:rPr>
                <w:color w:val="000000" w:themeColor="text1"/>
                <w:szCs w:val="21"/>
                <w14:textFill>
                  <w14:solidFill>
                    <w14:schemeClr w14:val="tx1"/>
                  </w14:solidFill>
                </w14:textFill>
              </w:rPr>
              <w:t xml:space="preserve">扣</w:t>
            </w:r>
            <w:r>
              <w:rPr>
                <w:rFonts w:hint="eastAsia"/>
                <w:color w:val="000000" w:themeColor="text1"/>
                <w:szCs w:val="21"/>
                <w:lang w:val="en-US" w:eastAsia="zh-CN"/>
                <w14:textFill>
                  <w14:solidFill>
                    <w14:schemeClr w14:val="tx1"/>
                  </w14:solidFill>
                </w14:textFill>
              </w:rPr>
              <w:t xml:space="preserve">2</w:t>
            </w:r>
            <w:r>
              <w:rPr>
                <w:color w:val="000000" w:themeColor="text1"/>
                <w:szCs w:val="21"/>
                <w14:textFill>
                  <w14:solidFill>
                    <w14:schemeClr w14:val="tx1"/>
                  </w14:solidFill>
                </w14:textFill>
              </w:rPr>
              <w:t xml:space="preserve">分/次、</w:t>
            </w:r>
            <w:r>
              <w:rPr>
                <w:rFonts w:hint="eastAsia"/>
                <w:color w:val="000000" w:themeColor="text1"/>
                <w:szCs w:val="21"/>
                <w:lang w:val="en-US" w:eastAsia="zh-CN"/>
                <w14:textFill>
                  <w14:solidFill>
                    <w14:schemeClr w14:val="tx1"/>
                  </w14:solidFill>
                </w14:textFill>
              </w:rPr>
              <w:t xml:space="preserve">逾期3小时</w:t>
            </w:r>
            <w:r>
              <w:rPr>
                <w:color w:val="000000" w:themeColor="text1"/>
                <w:szCs w:val="21"/>
                <w14:textFill>
                  <w14:solidFill>
                    <w14:schemeClr w14:val="tx1"/>
                  </w14:solidFill>
                </w14:textFill>
              </w:rPr>
              <w:t xml:space="preserve">扣</w:t>
            </w:r>
            <w:r>
              <w:rPr>
                <w:rFonts w:hint="eastAsia"/>
                <w:color w:val="000000" w:themeColor="text1"/>
                <w:szCs w:val="21"/>
                <w:lang w:val="en-US" w:eastAsia="zh-CN"/>
                <w14:textFill>
                  <w14:solidFill>
                    <w14:schemeClr w14:val="tx1"/>
                  </w14:solidFill>
                </w14:textFill>
              </w:rPr>
              <w:t xml:space="preserve">3</w:t>
            </w:r>
            <w:r>
              <w:rPr>
                <w:color w:val="000000" w:themeColor="text1"/>
                <w:szCs w:val="21"/>
                <w14:textFill>
                  <w14:solidFill>
                    <w14:schemeClr w14:val="tx1"/>
                  </w14:solidFill>
                </w14:textFill>
              </w:rPr>
              <w:t xml:space="preserve">分/次</w:t>
            </w:r>
            <w:r>
              <w:rPr>
                <w:rFonts w:hint="eastAsia"/>
                <w:color w:val="000000" w:themeColor="text1"/>
                <w:szCs w:val="21"/>
                <w:lang w:eastAsia="zh-CN"/>
                <w14:textFill>
                  <w14:solidFill>
                    <w14:schemeClr w14:val="tx1"/>
                  </w14:solidFill>
                </w14:textFill>
              </w:rPr>
              <w:t xml:space="preserve">；</w:t>
            </w:r>
            <w:r>
              <w:rPr>
                <w:color w:val="000000" w:themeColor="text1"/>
                <w:szCs w:val="21"/>
                <w14:textFill>
                  <w14:solidFill>
                    <w14:schemeClr w14:val="tx1"/>
                  </w14:solidFill>
                </w14:textFill>
              </w:rPr>
              <w:t xml:space="preserve">对区域内其他市政、土建等项目的施工配合，若发生功能性影响的，需及时书面上报，未上报而自行处理的，扣1分/次；养护过程中发现需大修的项目需及时书面上报，未上报的，扣1分/次；施工及养护中未进行交通组织未对施工区域采取全封闭围护的，现场无警示牌导向的，扣1分/次；施工过程中或施工完备后垃圾或成品费料乱扔乱倒的，扣1分/处；施工完工后未及时的对施工区域进行清扫的扣1分/处。</w:t>
            </w:r>
            <w:r/>
          </w:p>
        </w:tc>
        <w:tc>
          <w:tcPr>
            <w:tcBorders>
              <w:top w:val="single" w:color="auto" w:sz="4" w:space="0"/>
              <w:left w:val="none" w:color="000000" w:sz="4" w:space="0"/>
              <w:bottom w:val="single" w:color="auto" w:sz="4" w:space="0"/>
              <w:right w:val="single" w:color="auto" w:sz="4" w:space="0"/>
            </w:tcBorders>
            <w:tcW w:w="375" w:type="pct"/>
            <w:vAlign w:val="center"/>
            <w:vMerge w:val="restart"/>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vMerge w:val="restar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vMerge w:val="restar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single" w:color="auto" w:sz="4" w:space="0"/>
              <w:left w:val="single" w:color="auto" w:sz="4" w:space="0"/>
              <w:right w:val="single" w:color="auto" w:sz="4" w:space="0"/>
            </w:tcBorders>
            <w:tcW w:w="568" w:type="pct"/>
            <w:vAlign w:val="center"/>
            <w:vMerge w:val="continue"/>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质量管理</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 xml:space="preserve">施工材料不符合要求的，扣1分/次；施工材料检测不合格的</w:t>
            </w:r>
            <w:r>
              <w:rPr>
                <w:rFonts w:hint="eastAsia"/>
                <w:color w:val="000000" w:themeColor="text1"/>
                <w:szCs w:val="21"/>
                <w:lang w:eastAsia="zh-CN"/>
                <w14:textFill>
                  <w14:solidFill>
                    <w14:schemeClr w14:val="tx1"/>
                  </w14:solidFill>
                </w14:textFill>
              </w:rPr>
              <w:t xml:space="preserve">，</w:t>
            </w:r>
            <w:r>
              <w:rPr>
                <w:color w:val="000000" w:themeColor="text1"/>
                <w:szCs w:val="21"/>
                <w14:textFill>
                  <w14:solidFill>
                    <w14:schemeClr w14:val="tx1"/>
                  </w14:solidFill>
                </w14:textFill>
              </w:rPr>
              <w:t xml:space="preserve">扣1分/次；施工工序、工艺不符合要求的，扣1分/次</w:t>
            </w:r>
            <w:r>
              <w:rPr>
                <w:rFonts w:hint="eastAsia"/>
                <w:color w:val="000000" w:themeColor="text1"/>
                <w:szCs w:val="21"/>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37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vMerge w:val="restar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682"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进度、计划管理</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无养护计划或报表，扣1分/次；未按计划完成、扣1分/次；未及时完成监理、业主布置的任务，扣1分/次。</w:t>
            </w:r>
            <w:r/>
          </w:p>
        </w:tc>
        <w:tc>
          <w:tcPr>
            <w:tcBorders>
              <w:top w:val="single" w:color="auto" w:sz="4" w:space="0"/>
              <w:left w:val="none" w:color="000000" w:sz="4" w:space="0"/>
              <w:bottom w:val="single" w:color="auto" w:sz="4" w:space="0"/>
              <w:right w:val="single" w:color="auto" w:sz="4" w:space="0"/>
            </w:tcBorders>
            <w:tcW w:w="37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vMerge w:val="restar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bottom w:val="single" w:color="auto" w:sz="4" w:space="0"/>
              <w:right w:val="single" w:color="auto" w:sz="4" w:space="0"/>
            </w:tcBorders>
            <w:tcW w:w="568" w:type="pct"/>
            <w:vAlign w:val="center"/>
            <w:vMerge w:val="continue"/>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682"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资料管理</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 xml:space="preserve">养护台账、内部考核制度、维修制度、应急预案、巡查记录等不完善，资料不全</w:t>
            </w:r>
            <w:r>
              <w:rPr>
                <w:color w:val="000000" w:themeColor="text1"/>
                <w:szCs w:val="21"/>
                <w14:textFill>
                  <w14:solidFill>
                    <w14:schemeClr w14:val="tx1"/>
                  </w14:solidFill>
                </w14:textFill>
              </w:rPr>
              <w:t xml:space="preserve">扣1分/次</w:t>
            </w:r>
            <w:r>
              <w:rPr>
                <w:rFonts w:hint="eastAsia"/>
                <w:color w:val="000000" w:themeColor="text1"/>
                <w:szCs w:val="21"/>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37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设施保护</w:t>
            </w:r>
            <w:r/>
          </w:p>
        </w:tc>
        <w:tc>
          <w:tcPr>
            <w:gridSpan w:val="2"/>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维护路产路权，保护市政设施不被非法挖掘、占用。</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及时发现非法挖掘、占用市政设施、破坏雨水设施的，一件扣分1分；未及时报告管理部门的，一件扣1分；未及时制止并采取保护措施的，一件扣1分。擅自挖掘道路铺设管线或擅自改变原有设施状况的，一件扣2分。</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投诉处理</w:t>
            </w:r>
            <w:r/>
          </w:p>
        </w:tc>
        <w:tc>
          <w:tcPr>
            <w:gridSpan w:val="2"/>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快速回应并处置“12345”等公共服务热线、新闻媒体等反应的问题。</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养护失缺造成投诉的，一项扣1分；未在规定期限内处置的，一项扣1分；未按规范要求处置的，一项扣1分；同一事项重复投诉的，一项扣2分；被上级部门考核扣分的，一项扣2分。</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总分</w:t>
            </w:r>
            <w:r/>
          </w:p>
        </w:tc>
        <w:tc>
          <w:tcPr>
            <w:gridSpan w:val="2"/>
            <w:tcBorders>
              <w:top w:val="none" w:color="000000" w:sz="4" w:space="0"/>
              <w:left w:val="none" w:color="000000" w:sz="4" w:space="0"/>
              <w:bottom w:val="single" w:color="auto" w:sz="4" w:space="0"/>
              <w:right w:val="single" w:color="auto" w:sz="4" w:space="0"/>
            </w:tcBorders>
            <w:tcW w:w="682"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479"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14"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8"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gridSpan w:val="4"/>
            <w:tcBorders>
              <w:top w:val="single" w:color="auto" w:sz="4" w:space="0"/>
              <w:left w:val="single" w:color="auto" w:sz="4" w:space="0"/>
              <w:bottom w:val="single" w:color="auto" w:sz="4" w:space="0"/>
              <w:right w:val="single" w:color="auto" w:sz="4" w:space="0"/>
            </w:tcBorders>
            <w:tcW w:w="1596" w:type="pc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考核路段：</w:t>
            </w:r>
            <w:r/>
          </w:p>
        </w:tc>
        <w:tc>
          <w:tcPr>
            <w:gridSpan w:val="3"/>
            <w:tcBorders>
              <w:top w:val="single" w:color="auto" w:sz="4" w:space="0"/>
              <w:left w:val="none" w:color="000000" w:sz="4" w:space="0"/>
              <w:bottom w:val="single" w:color="auto" w:sz="4" w:space="0"/>
              <w:right w:val="single" w:color="auto" w:sz="4" w:space="0"/>
            </w:tcBorders>
            <w:tcW w:w="2370" w:type="pc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考核人员签字：</w:t>
            </w:r>
            <w:r/>
          </w:p>
        </w:tc>
        <w:tc>
          <w:tcPr>
            <w:tcBorders>
              <w:top w:val="single" w:color="auto" w:sz="4" w:space="0"/>
              <w:left w:val="none" w:color="000000" w:sz="4" w:space="0"/>
              <w:bottom w:val="single" w:color="auto" w:sz="4" w:space="0"/>
              <w:right w:val="single" w:color="auto" w:sz="4" w:space="0"/>
            </w:tcBorders>
            <w:tcW w:w="514" w:type="pc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18" w:type="pc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69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705"/>
        <w:gridCol w:w="1157"/>
        <w:gridCol w:w="708"/>
        <w:gridCol w:w="3884"/>
        <w:gridCol w:w="808"/>
        <w:gridCol w:w="970"/>
      </w:tblGrid>
      <w:tr>
        <w:trPr>
          <w:trHeight w:val="567"/>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400" w:lineRule="exact"/>
              <w:widowControl/>
              <w:rPr>
                <w:color w:val="000000" w:themeColor="text1"/>
                <w:sz w:val="24"/>
                <w14:textFill>
                  <w14:solidFill>
                    <w14:schemeClr w14:val="tx1"/>
                  </w14:solidFill>
                </w14:textFill>
              </w:rPr>
            </w:pPr>
            <w:r>
              <w:rPr>
                <w:rFonts w:hint="eastAsia"/>
                <w:b/>
                <w:bCs/>
                <w:color w:val="000000" w:themeColor="text1"/>
                <w:sz w:val="32"/>
                <w:szCs w:val="32"/>
                <w:lang w:val="en-US" w:eastAsia="zh-CN"/>
                <w14:textFill>
                  <w14:solidFill>
                    <w14:schemeClr w14:val="tx1"/>
                  </w14:solidFill>
                </w14:textFill>
              </w:rPr>
              <w:t xml:space="preserve">标志、标牌等</w:t>
            </w:r>
            <w:r>
              <w:rPr>
                <w:b/>
                <w:bCs/>
                <w:color w:val="000000" w:themeColor="text1"/>
                <w:sz w:val="32"/>
                <w:szCs w:val="32"/>
                <w14:textFill>
                  <w14:solidFill>
                    <w14:schemeClr w14:val="tx1"/>
                  </w14:solidFill>
                </w14:textFill>
              </w:rPr>
              <w:t xml:space="preserve">月度考核评分表</w:t>
            </w:r>
            <w:r/>
          </w:p>
        </w:tc>
      </w:tr>
      <w:tr>
        <w:trPr>
          <w:trHeight w:val="567"/>
        </w:trPr>
        <w:tc>
          <w:tcPr>
            <w:gridSpan w:val="7"/>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right"/>
              <w:spacing w:line="400" w:lineRule="exac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考核日期：</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年</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月</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日</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w:t>
            </w:r>
            <w:r/>
          </w:p>
        </w:tc>
        <w:tc>
          <w:tcPr>
            <w:gridSpan w:val="2"/>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考核内容</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分值</w:t>
            </w:r>
            <w:r/>
          </w:p>
        </w:tc>
        <w:tc>
          <w:tcPr>
            <w:tcBorders>
              <w:top w:val="none" w:color="000000" w:sz="4" w:space="0"/>
              <w:left w:val="none" w:color="000000" w:sz="4" w:space="0"/>
              <w:bottom w:val="single" w:color="auto" w:sz="4" w:space="0"/>
              <w:right w:val="single" w:color="auto" w:sz="4" w:space="0"/>
            </w:tcBorders>
            <w:tcW w:w="2091"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评分标准</w:t>
            </w:r>
            <w:r/>
          </w:p>
        </w:tc>
        <w:tc>
          <w:tcPr>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得分</w:t>
            </w:r>
            <w:r/>
          </w:p>
        </w:tc>
        <w:tc>
          <w:tcPr>
            <w:tcBorders>
              <w:top w:val="single" w:color="auto" w:sz="4" w:space="0"/>
              <w:left w:val="none" w:color="000000" w:sz="4" w:space="0"/>
              <w:bottom w:val="single" w:color="auto" w:sz="4" w:space="0"/>
              <w:right w:val="single" w:color="auto" w:sz="4" w:space="0"/>
            </w:tcBorders>
            <w:tcW w:w="520" w:type="pct"/>
            <w:vAlign w:val="center"/>
            <w:textDirection w:val="lrTb"/>
            <w:noWrap/>
          </w:tcPr>
          <w:p>
            <w:pPr>
              <w:jc w:val="center"/>
              <w:spacing w:line="400" w:lineRule="exac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设施巡查</w:t>
            </w:r>
            <w:r/>
          </w:p>
        </w:tc>
        <w:tc>
          <w:tcPr>
            <w:gridSpan w:val="2"/>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严格按照相关技术规范进行巡查，确保巡查质量并做好巡查记录。</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2091" w:type="pct"/>
            <w:vAlign w:val="center"/>
            <w:textDirection w:val="lrTb"/>
            <w:noWrap w:val="false"/>
          </w:tcPr>
          <w:p>
            <w:pP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无巡查记录的，扣1分/次，未按照要求进行巡查，扣1分/次。</w:t>
            </w:r>
            <w:r/>
          </w:p>
        </w:tc>
        <w:tc>
          <w:tcPr>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right w:val="single" w:color="auto" w:sz="4" w:space="0"/>
            </w:tcBorders>
            <w:tcW w:w="568" w:type="pct"/>
            <w:vAlign w:val="center"/>
            <w:vMerge w:val="restart"/>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设施完好</w:t>
            </w:r>
            <w:r/>
          </w:p>
        </w:tc>
        <w:tc>
          <w:tcPr>
            <w:tcBorders>
              <w:top w:val="none" w:color="000000" w:sz="4" w:space="0"/>
              <w:left w:val="single" w:color="auto" w:sz="4" w:space="0"/>
              <w:right w:val="single" w:color="auto" w:sz="4" w:space="0"/>
            </w:tcBorders>
            <w:tcW w:w="380" w:type="pct"/>
            <w:vAlign w:val="center"/>
            <w:vMerge w:val="restart"/>
            <w:textDirection w:val="lrTb"/>
            <w:noWrap w:val="false"/>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交通安全设施</w:t>
            </w:r>
            <w:r/>
          </w:p>
        </w:tc>
        <w:tc>
          <w:tcPr>
            <w:tcBorders>
              <w:top w:val="none" w:color="000000" w:sz="4" w:space="0"/>
              <w:left w:val="single" w:color="auto" w:sz="4" w:space="0"/>
              <w:bottom w:val="single" w:color="auto" w:sz="4" w:space="0"/>
              <w:right w:val="single" w:color="auto" w:sz="4" w:space="0"/>
            </w:tcBorders>
            <w:tcW w:w="623" w:type="pct"/>
            <w:vAlign w:val="center"/>
            <w:textDirection w:val="lrTb"/>
            <w:noWrap w:val="false"/>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标志、标牌</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rFonts w:hint="eastAsia" w:eastAsia="宋体"/>
                <w:color w:val="000000" w:themeColor="text1"/>
                <w:szCs w:val="21"/>
                <w:lang w:eastAsia="zh-CN"/>
                <w14:textFill>
                  <w14:solidFill>
                    <w14:schemeClr w14:val="tx1"/>
                  </w14:solidFill>
                </w14:textFill>
              </w:rPr>
            </w:pPr>
            <w:r>
              <w:rPr>
                <w:color w:val="000000" w:themeColor="text1"/>
                <w14:textFill>
                  <w14:solidFill>
                    <w14:schemeClr w14:val="tx1"/>
                  </w14:solidFill>
                </w14:textFill>
              </w:rPr>
              <w:t xml:space="preserve">缺损</w:t>
            </w:r>
            <w:r>
              <w:rPr>
                <w:rFonts w:hint="eastAsia"/>
                <w:color w:val="000000" w:themeColor="text1"/>
                <w:lang w:val="en-US" w:eastAsia="zh-CN"/>
                <w14:textFill>
                  <w14:solidFill>
                    <w14:schemeClr w14:val="tx1"/>
                  </w14:solidFill>
                </w14:textFill>
              </w:rPr>
              <w:t xml:space="preserve">、遮挡、松动、</w:t>
            </w:r>
            <w:r>
              <w:rPr>
                <w:color w:val="000000" w:themeColor="text1"/>
                <w14:textFill>
                  <w14:solidFill>
                    <w14:schemeClr w14:val="tx1"/>
                  </w14:solidFill>
                </w14:textFill>
              </w:rPr>
              <w:t xml:space="preserve">倾斜、移位、</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眩光</w:t>
            </w:r>
            <w:r>
              <w:rPr>
                <w:rFonts w:hint="eastAsia" w:cs="Times New Roman"/>
                <w:color w:val="000000" w:themeColor="text1"/>
                <w:sz w:val="21"/>
                <w:szCs w:val="21"/>
                <w:lang w:val="en-US" w:eastAsia="zh-CN" w:bidi="ar-SA"/>
                <w14:textFill>
                  <w14:solidFill>
                    <w14:schemeClr w14:val="tx1"/>
                  </w14:solidFill>
                </w14:textFill>
              </w:rPr>
              <w:t xml:space="preserve">、尺寸与高度不符、</w:t>
            </w:r>
            <w:r>
              <w:rPr>
                <w:rFonts w:hint="eastAsia"/>
                <w:color w:val="000000" w:themeColor="text1"/>
                <w:lang w:val="en-US" w:eastAsia="zh-CN"/>
                <w14:textFill>
                  <w14:solidFill>
                    <w14:schemeClr w14:val="tx1"/>
                  </w14:solidFill>
                </w14:textFill>
              </w:rPr>
              <w:t xml:space="preserve">未按要求施工</w:t>
            </w:r>
            <w:r>
              <w:rPr>
                <w:color w:val="000000" w:themeColor="text1"/>
                <w14:textFill>
                  <w14:solidFill>
                    <w14:schemeClr w14:val="tx1"/>
                  </w14:solidFill>
                </w14:textFill>
              </w:rPr>
              <w:t xml:space="preserve">等，扣</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次。</w:t>
            </w:r>
            <w:r/>
          </w:p>
        </w:tc>
        <w:tc>
          <w:tcPr>
            <w:tcBorders>
              <w:top w:val="none" w:color="000000" w:sz="4" w:space="0"/>
              <w:left w:val="none" w:color="000000" w:sz="4" w:space="0"/>
              <w:right w:val="single" w:color="auto" w:sz="4" w:space="0"/>
            </w:tcBorders>
            <w:tcW w:w="435" w:type="pct"/>
            <w:vAlign w:val="center"/>
            <w:vMerge w:val="restart"/>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right w:val="single" w:color="auto" w:sz="4" w:space="0"/>
            </w:tcBorders>
            <w:tcW w:w="520" w:type="pct"/>
            <w:vAlign w:val="center"/>
            <w:vMerge w:val="restar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left w:val="single" w:color="auto" w:sz="4" w:space="0"/>
              <w:right w:val="single" w:color="auto" w:sz="4" w:space="0"/>
            </w:tcBorders>
            <w:tcW w:w="568"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right w:val="single" w:color="auto" w:sz="4" w:space="0"/>
            </w:tcBorders>
            <w:tcW w:w="380" w:type="pct"/>
            <w:vAlign w:val="center"/>
            <w:vMerge w:val="continue"/>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3" w:type="pct"/>
            <w:vAlign w:val="center"/>
            <w:textDirection w:val="lrTb"/>
            <w:noWrap w:val="false"/>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标线</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不清晰、醒目、耐磨、色泽与漆膜厚度不均匀、未按要求施工</w:t>
            </w:r>
            <w:r>
              <w:rPr>
                <w:color w:val="000000" w:themeColor="text1"/>
                <w14:textFill>
                  <w14:solidFill>
                    <w14:schemeClr w14:val="tx1"/>
                  </w14:solidFill>
                </w14:textFill>
              </w:rPr>
              <w:t xml:space="preserve">等，扣</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次。</w:t>
            </w:r>
            <w:r/>
          </w:p>
        </w:tc>
        <w:tc>
          <w:tcPr>
            <w:tcBorders>
              <w:left w:val="none" w:color="000000" w:sz="4" w:space="0"/>
              <w:right w:val="single" w:color="auto" w:sz="4" w:space="0"/>
            </w:tcBorders>
            <w:tcW w:w="43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right w:val="single" w:color="auto" w:sz="4" w:space="0"/>
            </w:tcBorders>
            <w:tcW w:w="520"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4" w:space="0"/>
              <w:bottom w:val="single" w:color="auto" w:sz="4" w:space="0"/>
              <w:right w:val="single" w:color="auto" w:sz="4" w:space="0"/>
            </w:tcBorders>
            <w:tcW w:w="380" w:type="pct"/>
            <w:vAlign w:val="center"/>
            <w:vMerge w:val="continue"/>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3" w:type="pct"/>
            <w:vAlign w:val="center"/>
            <w:textDirection w:val="lrTb"/>
            <w:noWrap w:val="false"/>
          </w:tcPr>
          <w:p>
            <w:pPr>
              <w:jc w:val="center"/>
              <w:widowControl/>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公益广告</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14:textFill>
                  <w14:solidFill>
                    <w14:schemeClr w14:val="tx1"/>
                  </w14:solidFill>
                </w14:textFill>
              </w:rPr>
              <w:t xml:space="preserve">缺损、</w:t>
            </w:r>
            <w:r>
              <w:rPr>
                <w:rFonts w:hint="eastAsia"/>
                <w:color w:val="000000" w:themeColor="text1"/>
                <w:lang w:val="en-US" w:eastAsia="zh-CN"/>
                <w14:textFill>
                  <w14:solidFill>
                    <w14:schemeClr w14:val="tx1"/>
                  </w14:solidFill>
                </w14:textFill>
              </w:rPr>
              <w:t xml:space="preserve">颜色掉落、松动、未按规格制作</w:t>
            </w:r>
            <w:r>
              <w:rPr>
                <w:color w:val="000000" w:themeColor="text1"/>
                <w14:textFill>
                  <w14:solidFill>
                    <w14:schemeClr w14:val="tx1"/>
                  </w14:solidFill>
                </w14:textFill>
              </w:rPr>
              <w:t xml:space="preserve">等，扣</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分/</w:t>
            </w:r>
            <w:r>
              <w:rPr>
                <w:rFonts w:hint="eastAsia"/>
                <w:color w:val="000000" w:themeColor="text1"/>
                <w:lang w:val="en-US" w:eastAsia="zh-CN"/>
                <w14:textFill>
                  <w14:solidFill>
                    <w14:schemeClr w14:val="tx1"/>
                  </w14:solidFill>
                </w14:textFill>
              </w:rPr>
              <w:t xml:space="preserve">次。</w:t>
            </w:r>
            <w:r/>
          </w:p>
        </w:tc>
        <w:tc>
          <w:tcPr>
            <w:tcBorders>
              <w:left w:val="none" w:color="000000" w:sz="4" w:space="0"/>
              <w:bottom w:val="single" w:color="auto" w:sz="4" w:space="0"/>
              <w:right w:val="single" w:color="auto" w:sz="4" w:space="0"/>
            </w:tcBorders>
            <w:tcW w:w="43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none" w:color="000000" w:sz="4" w:space="0"/>
              <w:bottom w:val="single" w:color="auto" w:sz="4" w:space="0"/>
              <w:right w:val="single" w:color="auto" w:sz="4" w:space="0"/>
            </w:tcBorders>
            <w:tcW w:w="520"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养护维修施工管理</w:t>
            </w:r>
            <w:r/>
          </w:p>
        </w:tc>
        <w:tc>
          <w:tcPr>
            <w:gridSpan w:val="2"/>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安全文明施工管理</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w:t>
            </w:r>
            <w:r/>
          </w:p>
        </w:tc>
        <w:tc>
          <w:tcPr>
            <w:tcBorders>
              <w:top w:val="single" w:color="auto"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标志、标牌、公益广告等松动有安全隐患的</w:t>
            </w:r>
            <w:r>
              <w:rPr>
                <w:color w:val="000000" w:themeColor="text1"/>
                <w:szCs w:val="21"/>
                <w14:textFill>
                  <w14:solidFill>
                    <w14:schemeClr w14:val="tx1"/>
                  </w14:solidFill>
                </w14:textFill>
              </w:rPr>
              <w:t xml:space="preserve">未及时修复而产生交通事故或造成人员伤亡的，扣5分/次；工程实施过程中出现安全事故，经交警部门鉴定为承包人责任的，由承包人自行承担责任，并扣2分；未能及时完成监理、业主布置的任务，</w:t>
            </w:r>
            <w:r>
              <w:rPr>
                <w:rFonts w:hint="eastAsia"/>
                <w:color w:val="000000" w:themeColor="text1"/>
                <w:szCs w:val="21"/>
                <w:lang w:val="en-US" w:eastAsia="zh-CN"/>
                <w14:textFill>
                  <w14:solidFill>
                    <w14:schemeClr w14:val="tx1"/>
                  </w14:solidFill>
                </w14:textFill>
              </w:rPr>
              <w:t xml:space="preserve">逾期1小时</w:t>
            </w:r>
            <w:r>
              <w:rPr>
                <w:color w:val="000000" w:themeColor="text1"/>
                <w:szCs w:val="21"/>
                <w14:textFill>
                  <w14:solidFill>
                    <w14:schemeClr w14:val="tx1"/>
                  </w14:solidFill>
                </w14:textFill>
              </w:rPr>
              <w:t xml:space="preserve">扣1分/次、</w:t>
            </w:r>
            <w:r>
              <w:rPr>
                <w:rFonts w:hint="eastAsia"/>
                <w:color w:val="000000" w:themeColor="text1"/>
                <w:szCs w:val="21"/>
                <w:lang w:val="en-US" w:eastAsia="zh-CN"/>
                <w14:textFill>
                  <w14:solidFill>
                    <w14:schemeClr w14:val="tx1"/>
                  </w14:solidFill>
                </w14:textFill>
              </w:rPr>
              <w:t xml:space="preserve">逾期2小时</w:t>
            </w:r>
            <w:r>
              <w:rPr>
                <w:color w:val="000000" w:themeColor="text1"/>
                <w:szCs w:val="21"/>
                <w14:textFill>
                  <w14:solidFill>
                    <w14:schemeClr w14:val="tx1"/>
                  </w14:solidFill>
                </w14:textFill>
              </w:rPr>
              <w:t xml:space="preserve">扣</w:t>
            </w:r>
            <w:r>
              <w:rPr>
                <w:rFonts w:hint="eastAsia"/>
                <w:color w:val="000000" w:themeColor="text1"/>
                <w:szCs w:val="21"/>
                <w:lang w:val="en-US" w:eastAsia="zh-CN"/>
                <w14:textFill>
                  <w14:solidFill>
                    <w14:schemeClr w14:val="tx1"/>
                  </w14:solidFill>
                </w14:textFill>
              </w:rPr>
              <w:t xml:space="preserve">2</w:t>
            </w:r>
            <w:r>
              <w:rPr>
                <w:color w:val="000000" w:themeColor="text1"/>
                <w:szCs w:val="21"/>
                <w14:textFill>
                  <w14:solidFill>
                    <w14:schemeClr w14:val="tx1"/>
                  </w14:solidFill>
                </w14:textFill>
              </w:rPr>
              <w:t xml:space="preserve">分/次、</w:t>
            </w:r>
            <w:r>
              <w:rPr>
                <w:rFonts w:hint="eastAsia"/>
                <w:color w:val="000000" w:themeColor="text1"/>
                <w:szCs w:val="21"/>
                <w:lang w:val="en-US" w:eastAsia="zh-CN"/>
                <w14:textFill>
                  <w14:solidFill>
                    <w14:schemeClr w14:val="tx1"/>
                  </w14:solidFill>
                </w14:textFill>
              </w:rPr>
              <w:t xml:space="preserve">逾期3小时</w:t>
            </w:r>
            <w:r>
              <w:rPr>
                <w:color w:val="000000" w:themeColor="text1"/>
                <w:szCs w:val="21"/>
                <w14:textFill>
                  <w14:solidFill>
                    <w14:schemeClr w14:val="tx1"/>
                  </w14:solidFill>
                </w14:textFill>
              </w:rPr>
              <w:t xml:space="preserve">扣</w:t>
            </w:r>
            <w:r>
              <w:rPr>
                <w:rFonts w:hint="eastAsia"/>
                <w:color w:val="000000" w:themeColor="text1"/>
                <w:szCs w:val="21"/>
                <w:lang w:val="en-US" w:eastAsia="zh-CN"/>
                <w14:textFill>
                  <w14:solidFill>
                    <w14:schemeClr w14:val="tx1"/>
                  </w14:solidFill>
                </w14:textFill>
              </w:rPr>
              <w:t xml:space="preserve">3</w:t>
            </w:r>
            <w:r>
              <w:rPr>
                <w:color w:val="000000" w:themeColor="text1"/>
                <w:szCs w:val="21"/>
                <w14:textFill>
                  <w14:solidFill>
                    <w14:schemeClr w14:val="tx1"/>
                  </w14:solidFill>
                </w14:textFill>
              </w:rPr>
              <w:t xml:space="preserve">分/次</w:t>
            </w:r>
            <w:r>
              <w:rPr>
                <w:rFonts w:hint="eastAsia"/>
                <w:color w:val="000000" w:themeColor="text1"/>
                <w:szCs w:val="21"/>
                <w:lang w:eastAsia="zh-CN"/>
                <w14:textFill>
                  <w14:solidFill>
                    <w14:schemeClr w14:val="tx1"/>
                  </w14:solidFill>
                </w14:textFill>
              </w:rPr>
              <w:t xml:space="preserve">；</w:t>
            </w:r>
            <w:r>
              <w:rPr>
                <w:color w:val="000000" w:themeColor="text1"/>
                <w:szCs w:val="21"/>
                <w14:textFill>
                  <w14:solidFill>
                    <w14:schemeClr w14:val="tx1"/>
                  </w14:solidFill>
                </w14:textFill>
              </w:rPr>
              <w:t xml:space="preserve">对区域内其他市政、土建等项目的施工配合，若发生功能性影响的，需及时书面上报，未上报而自行处理的，扣1分/次；养护过程中发现需大修的项目需及时书面上报，未上报的，扣1分/次；施工及养护中未进行交通组织未对施工区域采取全封闭围护的，现场无警示牌导向的，扣1分/次；施工过程中或施工完备后垃圾或成品费料乱扔乱倒的，扣1分/处；施工完工后未及时的对施工区域进行清扫的扣1分/处。</w:t>
            </w:r>
            <w:r/>
          </w:p>
        </w:tc>
        <w:tc>
          <w:tcPr>
            <w:tcBorders>
              <w:top w:val="single" w:color="auto" w:sz="4" w:space="0"/>
              <w:left w:val="none" w:color="000000" w:sz="4" w:space="0"/>
              <w:bottom w:val="single" w:color="auto" w:sz="4" w:space="0"/>
              <w:right w:val="single" w:color="auto" w:sz="4" w:space="0"/>
            </w:tcBorders>
            <w:tcW w:w="435" w:type="pct"/>
            <w:vAlign w:val="center"/>
            <w:vMerge w:val="restart"/>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0" w:type="pct"/>
            <w:vAlign w:val="center"/>
            <w:vMerge w:val="restar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single" w:color="auto" w:sz="4" w:space="0"/>
              <w:left w:val="single" w:color="auto" w:sz="4" w:space="0"/>
              <w:right w:val="single" w:color="auto" w:sz="4" w:space="0"/>
            </w:tcBorders>
            <w:tcW w:w="568" w:type="pct"/>
            <w:vAlign w:val="center"/>
            <w:vMerge w:val="continue"/>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质量管理</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施工材料不符合要求的，扣1分/次；施工材料检测不合格的、扣1分/次；施工工序、工艺不符合要求的，扣1分/次</w:t>
            </w:r>
            <w:r/>
          </w:p>
        </w:tc>
        <w:tc>
          <w:tcPr>
            <w:tcBorders>
              <w:top w:val="single" w:color="auto" w:sz="4" w:space="0"/>
              <w:left w:val="none" w:color="000000" w:sz="4" w:space="0"/>
              <w:bottom w:val="single" w:color="auto" w:sz="4" w:space="0"/>
              <w:right w:val="single" w:color="auto" w:sz="4" w:space="0"/>
            </w:tcBorders>
            <w:tcW w:w="43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0"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right w:val="single" w:color="auto" w:sz="4" w:space="0"/>
            </w:tcBorders>
            <w:tcW w:w="568" w:type="pct"/>
            <w:vAlign w:val="center"/>
            <w:vMerge w:val="continue"/>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003"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进度、计划管理</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无养护计划或报表，扣1分/次；未按计划完成、扣1分/次；未及时完成监理、业主布置的任务，扣1分/次。</w:t>
            </w:r>
            <w:r/>
          </w:p>
        </w:tc>
        <w:tc>
          <w:tcPr>
            <w:tcBorders>
              <w:top w:val="single" w:color="auto" w:sz="4" w:space="0"/>
              <w:left w:val="none" w:color="000000" w:sz="4" w:space="0"/>
              <w:bottom w:val="single" w:color="auto" w:sz="4" w:space="0"/>
              <w:right w:val="single" w:color="auto" w:sz="4" w:space="0"/>
            </w:tcBorders>
            <w:tcW w:w="43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0"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left w:val="single" w:color="auto" w:sz="4" w:space="0"/>
              <w:bottom w:val="single" w:color="auto" w:sz="4" w:space="0"/>
              <w:right w:val="single" w:color="auto" w:sz="4" w:space="0"/>
            </w:tcBorders>
            <w:tcW w:w="568" w:type="pct"/>
            <w:vAlign w:val="center"/>
            <w:vMerge w:val="continue"/>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003"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资料管理</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养护台账、内部考核制度、维修制度、应急预案、巡查记录等不完善，资料不全</w:t>
            </w:r>
            <w:r>
              <w:rPr>
                <w:color w:val="000000" w:themeColor="text1"/>
                <w:szCs w:val="21"/>
                <w14:textFill>
                  <w14:solidFill>
                    <w14:schemeClr w14:val="tx1"/>
                  </w14:solidFill>
                </w14:textFill>
              </w:rPr>
              <w:t xml:space="preserve">扣1分/次</w:t>
            </w:r>
            <w:r/>
          </w:p>
        </w:tc>
        <w:tc>
          <w:tcPr>
            <w:tcBorders>
              <w:top w:val="single" w:color="auto" w:sz="4" w:space="0"/>
              <w:left w:val="none" w:color="000000" w:sz="4" w:space="0"/>
              <w:bottom w:val="single" w:color="auto" w:sz="4" w:space="0"/>
              <w:right w:val="single" w:color="auto" w:sz="4" w:space="0"/>
            </w:tcBorders>
            <w:tcW w:w="435" w:type="pct"/>
            <w:vAlign w:val="center"/>
            <w:vMerge w:val="continue"/>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520" w:type="pct"/>
            <w:vAlign w:val="center"/>
            <w:vMerge w:val="continue"/>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设施保护</w:t>
            </w:r>
            <w:r/>
          </w:p>
        </w:tc>
        <w:tc>
          <w:tcPr>
            <w:gridSpan w:val="2"/>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维护路产路权，保护市政设施不被非法挖掘、占用。</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未及时发现占用市政设施的，一件扣分1分；未及时报告管理部门的，一件扣1分；未及时制止并采取保护措施的，一件扣1分。擅自挖掘道路铺设管线或擅自改变原有设施状况的，一件扣2分。</w:t>
            </w:r>
            <w:r/>
          </w:p>
        </w:tc>
        <w:tc>
          <w:tcPr>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投诉处理</w:t>
            </w:r>
            <w:r/>
          </w:p>
        </w:tc>
        <w:tc>
          <w:tcPr>
            <w:gridSpan w:val="2"/>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快速回应并处置“12345”等公共服务热线、新闻媒体等反应的问题。</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2091" w:type="pct"/>
            <w:vAlign w:val="center"/>
            <w:textDirection w:val="lrTb"/>
            <w:noWrap w:val="false"/>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养护失缺造成投诉的，一项扣1分；未在规定期限内处置的，一项扣1分；未按规范要求处置的，一项扣1分；同一事项重复投诉的，一项扣2分；被上级部门考核扣分的，一项扣2分。</w:t>
            </w:r>
            <w:r/>
          </w:p>
        </w:tc>
        <w:tc>
          <w:tcPr>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总分</w:t>
            </w:r>
            <w:r/>
          </w:p>
        </w:tc>
        <w:tc>
          <w:tcPr>
            <w:gridSpan w:val="2"/>
            <w:tcBorders>
              <w:top w:val="none" w:color="000000" w:sz="4" w:space="0"/>
              <w:left w:val="none" w:color="000000" w:sz="4" w:space="0"/>
              <w:bottom w:val="single" w:color="auto" w:sz="4" w:space="0"/>
              <w:right w:val="single" w:color="auto" w:sz="4" w:space="0"/>
            </w:tcBorders>
            <w:tcW w:w="1003"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2091"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20" w:type="pct"/>
            <w:vAlign w:val="center"/>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gridSpan w:val="4"/>
            <w:tcBorders>
              <w:top w:val="single" w:color="auto" w:sz="4" w:space="0"/>
              <w:left w:val="single" w:color="auto" w:sz="4" w:space="0"/>
              <w:bottom w:val="single" w:color="auto" w:sz="4" w:space="0"/>
              <w:right w:val="single" w:color="auto" w:sz="4" w:space="0"/>
            </w:tcBorders>
            <w:tcW w:w="1952" w:type="pc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考核路段：</w:t>
            </w:r>
            <w:r/>
          </w:p>
        </w:tc>
        <w:tc>
          <w:tcPr>
            <w:gridSpan w:val="3"/>
            <w:tcBorders>
              <w:top w:val="single" w:color="auto" w:sz="4" w:space="0"/>
              <w:left w:val="none" w:color="000000" w:sz="4" w:space="0"/>
              <w:bottom w:val="single" w:color="auto" w:sz="4" w:space="0"/>
              <w:right w:val="single" w:color="auto" w:sz="4" w:space="0"/>
            </w:tcBorders>
            <w:tcW w:w="3047" w:type="pct"/>
            <w:textDirection w:val="lrTb"/>
            <w:noWrap/>
          </w:tcPr>
          <w:p>
            <w:pPr>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考核人员签字：</w:t>
            </w:r>
            <w:r/>
          </w:p>
        </w:tc>
      </w:tr>
    </w:tbl>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13"/>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13"/>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13"/>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13"/>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13"/>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13"/>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13"/>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69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88"/>
        <w:gridCol w:w="2213"/>
        <w:gridCol w:w="841"/>
        <w:gridCol w:w="2961"/>
        <w:gridCol w:w="842"/>
        <w:gridCol w:w="843"/>
      </w:tblGrid>
      <w:tr>
        <w:trPr>
          <w:trHeight w:val="567"/>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240" w:lineRule="auto"/>
              <w:widowControl/>
              <w:rPr>
                <w:color w:val="000000" w:themeColor="text1"/>
                <w:sz w:val="24"/>
                <w14:textFill>
                  <w14:solidFill>
                    <w14:schemeClr w14:val="tx1"/>
                  </w14:solidFill>
                </w14:textFill>
              </w:rPr>
            </w:pPr>
            <w:r>
              <w:rPr>
                <w:rFonts w:hint="eastAsia" w:ascii="Times New Roman" w:hAnsi="Times New Roman" w:cs="Times New Roman"/>
                <w:b/>
                <w:bCs/>
                <w:color w:val="000000" w:themeColor="text1"/>
                <w:sz w:val="32"/>
                <w:szCs w:val="32"/>
                <w:lang w:val="en-US" w:eastAsia="zh-CN"/>
                <w14:textFill>
                  <w14:solidFill>
                    <w14:schemeClr w14:val="tx1"/>
                  </w14:solidFill>
                </w14:textFill>
              </w:rPr>
              <w:t xml:space="preserve">2025-2026、2026-2027年大丰城区主次干道、桥梁、排水等市政设施及标志标线、栏杆等道路交通设施养护半年度考核评分表</w:t>
            </w:r>
            <w:r/>
          </w:p>
        </w:tc>
      </w:tr>
      <w:tr>
        <w:trPr>
          <w:trHeight w:val="567"/>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right"/>
              <w:spacing w:line="240" w:lineRule="auto"/>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考核日期：</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年</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月</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日</w:t>
            </w:r>
            <w:r/>
          </w:p>
        </w:tc>
      </w:tr>
      <w:tr>
        <w:trPr>
          <w:trHeight w:val="567"/>
        </w:trPr>
        <w:tc>
          <w:tcPr>
            <w:tcBorders>
              <w:top w:val="none" w:color="000000" w:sz="4" w:space="0"/>
              <w:left w:val="single" w:color="auto" w:sz="4" w:space="0"/>
              <w:bottom w:val="single" w:color="auto" w:sz="4" w:space="0"/>
              <w:right w:val="single" w:color="auto" w:sz="4" w:space="0"/>
            </w:tcBorders>
            <w:tcW w:w="857"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w:t>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管理要求</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分值</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评分标准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得分</w:t>
            </w:r>
            <w:r/>
          </w:p>
        </w:tc>
        <w:tc>
          <w:tcPr>
            <w:tcBorders>
              <w:top w:val="single" w:color="auto" w:sz="4" w:space="0"/>
              <w:left w:val="none" w:color="000000" w:sz="4" w:space="0"/>
              <w:bottom w:val="single" w:color="auto" w:sz="4" w:space="0"/>
              <w:right w:val="single" w:color="auto" w:sz="4" w:space="0"/>
            </w:tcBorders>
            <w:tcW w:w="422"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trHeight w:val="567"/>
        </w:trPr>
        <w:tc>
          <w:tcPr>
            <w:tcBorders>
              <w:top w:val="none" w:color="000000" w:sz="4" w:space="0"/>
              <w:left w:val="single" w:color="auto" w:sz="4" w:space="0"/>
              <w:bottom w:val="single" w:color="000000" w:sz="4" w:space="0"/>
              <w:right w:val="single" w:color="auto" w:sz="4" w:space="0"/>
            </w:tcBorders>
            <w:tcW w:w="857" w:type="pct"/>
            <w:vAlign w:val="center"/>
            <w:vMerge w:val="restart"/>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台账资料（40）</w:t>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落实养护负责人及巡视员制度，每项设施落实到人，巡视人员必须具有道桥</w:t>
            </w:r>
            <w:r>
              <w:rPr>
                <w:rFonts w:hint="eastAsia"/>
                <w:color w:val="000000" w:themeColor="text1"/>
                <w:szCs w:val="21"/>
                <w:lang w:eastAsia="zh-CN"/>
                <w14:textFill>
                  <w14:solidFill>
                    <w14:schemeClr w14:val="tx1"/>
                  </w14:solidFill>
                </w14:textFill>
              </w:rPr>
              <w:t xml:space="preserve">、</w:t>
            </w:r>
            <w:r>
              <w:rPr>
                <w:rFonts w:hint="eastAsia"/>
                <w:color w:val="000000" w:themeColor="text1"/>
                <w:szCs w:val="21"/>
                <w:lang w:val="en-US" w:eastAsia="zh-CN"/>
                <w14:textFill>
                  <w14:solidFill>
                    <w14:schemeClr w14:val="tx1"/>
                  </w14:solidFill>
                </w14:textFill>
              </w:rPr>
              <w:t xml:space="preserve">地下</w:t>
            </w:r>
            <w:r>
              <w:rPr>
                <w:color w:val="000000" w:themeColor="text1"/>
                <w:szCs w:val="21"/>
                <w14:textFill>
                  <w14:solidFill>
                    <w14:schemeClr w14:val="tx1"/>
                  </w14:solidFill>
                </w14:textFill>
              </w:rPr>
              <w:t xml:space="preserve">技术人员以上职称或经培训合格的人员，并报</w:t>
            </w:r>
            <w:r>
              <w:rPr>
                <w:rFonts w:hint="eastAsia"/>
                <w:color w:val="000000" w:themeColor="text1"/>
                <w:szCs w:val="21"/>
                <w:lang w:val="en-US" w:eastAsia="zh-CN"/>
                <w14:textFill>
                  <w14:solidFill>
                    <w14:schemeClr w14:val="tx1"/>
                  </w14:solidFill>
                </w14:textFill>
              </w:rPr>
              <w:t xml:space="preserve">甲方</w:t>
            </w:r>
            <w:r>
              <w:rPr>
                <w:color w:val="000000" w:themeColor="text1"/>
                <w:szCs w:val="21"/>
                <w14:textFill>
                  <w14:solidFill>
                    <w14:schemeClr w14:val="tx1"/>
                  </w14:solidFill>
                </w14:textFill>
              </w:rPr>
              <w:t xml:space="preserve">备案。巡查记录完善，内容准确，并有病害上报和追踪解决记录。巡查记录要有巡查人员和养护负责人签字。</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未落实养护负责人，扣3分；未固定巡视人员，扣2分；未报</w:t>
            </w:r>
            <w:r>
              <w:rPr>
                <w:rFonts w:hint="eastAsia"/>
                <w:color w:val="000000" w:themeColor="text1"/>
                <w:szCs w:val="21"/>
                <w:lang w:val="en-US" w:eastAsia="zh-CN"/>
                <w14:textFill>
                  <w14:solidFill>
                    <w14:schemeClr w14:val="tx1"/>
                  </w14:solidFill>
                </w14:textFill>
              </w:rPr>
              <w:t xml:space="preserve">甲方</w:t>
            </w:r>
            <w:r>
              <w:rPr>
                <w:color w:val="000000" w:themeColor="text1"/>
                <w:szCs w:val="21"/>
                <w14:textFill>
                  <w14:solidFill>
                    <w14:schemeClr w14:val="tx1"/>
                  </w14:solidFill>
                </w14:textFill>
              </w:rPr>
              <w:t xml:space="preserve">备案，扣1分。无巡查记录，一处扣1分；记录不完善，一处扣1分；无病害上报记录，一处扣1分；无处理结果记录，一处扣1分；无巡查人员和养护负责人签字，一处扣1分。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000000" w:sz="4" w:space="0"/>
              <w:right w:val="single" w:color="auto" w:sz="4" w:space="0"/>
            </w:tcBorders>
            <w:tcW w:w="857"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养护维修记录要齐全，并附维修前后对照图片。有养护维修质量自检记录，有维修组长和质检人员签字。</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记录不全，一处扣1分；无对照图片，缺一处扣1分；无质量自检记录，一处扣0.5分；无班组长和质检人员签字，一处扣0.5分。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000000" w:sz="4" w:space="0"/>
              <w:right w:val="single" w:color="auto" w:sz="4" w:space="0"/>
            </w:tcBorders>
            <w:tcW w:w="857"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有养护作业计划和养护工作量月报表，有养护作业经费申请半年度报表，报表格式统一，上报及时，准确。</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无计划或月报表，一处扣1分；未及时报送，一次扣0.5分；数据不准确，一次扣0.5分；表式不统一，一次扣0.5分。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000000" w:sz="4" w:space="0"/>
              <w:right w:val="single" w:color="auto" w:sz="4" w:space="0"/>
            </w:tcBorders>
            <w:tcW w:w="857"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充分利用信息系统平台开展养护管理工作，及时、准确录入</w:t>
            </w:r>
            <w:r>
              <w:rPr>
                <w:rFonts w:hint="eastAsia"/>
                <w:color w:val="000000" w:themeColor="text1"/>
                <w:szCs w:val="21"/>
                <w:lang w:val="en-US" w:eastAsia="zh-CN"/>
                <w14:textFill>
                  <w14:solidFill>
                    <w14:schemeClr w14:val="tx1"/>
                  </w14:solidFill>
                </w14:textFill>
              </w:rPr>
              <w:t xml:space="preserve">城市生命线</w:t>
            </w:r>
            <w:r>
              <w:rPr>
                <w:color w:val="000000" w:themeColor="text1"/>
                <w:szCs w:val="21"/>
                <w14:textFill>
                  <w14:solidFill>
                    <w14:schemeClr w14:val="tx1"/>
                  </w14:solidFill>
                </w14:textFill>
              </w:rPr>
              <w:t xml:space="preserve">信息管理系统相关数据。</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未及时或不准确录入桥梁信息系统相关数据的，缺一项扣1分。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000000" w:sz="4" w:space="0"/>
              <w:right w:val="single" w:color="auto" w:sz="4" w:space="0"/>
            </w:tcBorders>
            <w:tcW w:w="857"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养护资料按一路一卡、一桥一卡、</w:t>
            </w:r>
            <w:r>
              <w:rPr>
                <w:rFonts w:hint="eastAsia"/>
                <w:color w:val="000000" w:themeColor="text1"/>
                <w:szCs w:val="21"/>
                <w:lang w:val="en-US" w:eastAsia="zh-CN"/>
                <w14:textFill>
                  <w14:solidFill>
                    <w14:schemeClr w14:val="tx1"/>
                  </w14:solidFill>
                </w14:textFill>
              </w:rPr>
              <w:t xml:space="preserve">一雨水管网一卡</w:t>
            </w:r>
            <w:r>
              <w:rPr>
                <w:color w:val="000000" w:themeColor="text1"/>
                <w:szCs w:val="21"/>
                <w14:textFill>
                  <w14:solidFill>
                    <w14:schemeClr w14:val="tx1"/>
                  </w14:solidFill>
                </w14:textFill>
              </w:rPr>
              <w:t xml:space="preserve">整理装订成册，目录清晰，内容齐全。</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未装订成册，扣1分；无内容扣1分；内容不齐全，一项扣0.5分。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857"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管理机制</w:t>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内部管理制度和考核制度齐全，并认真执行；定期召开养护单位的会议。</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管理制度不齐全，扣1分；无内部考核制度，扣1分；考核制度未执行，扣1分；未召开养护会议，一次扣1分。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857"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应急管理</w:t>
            </w:r>
            <w:r/>
          </w:p>
        </w:tc>
        <w:tc>
          <w:tcPr>
            <w:tcBorders>
              <w:top w:val="single" w:color="auto" w:sz="4" w:space="0"/>
              <w:left w:val="single" w:color="auto"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制定各类应急预案，按要求建立应急队伍、储备应急物资和机械设备，组织人员培训和应急演练。方式突发事件，反应迅速、处理及时，并按信息报送程序报送相关信息。</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未制定应急预案、未落实应急队伍、物质、设备，一项扣0.5分；未组织培训和应急演练，一项扣0.5分；发生突发事件，半小时内未到达现场的，一次扣1分；未采取相应的安全围护、警示标志等措施导致次生灾害的，一次扣1分；现场处置不及时、不到位的，一次扣1分；未按照程序报送信息或迟报、瞒报、漏报、误报的，一次扣1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single" w:color="auto" w:sz="4" w:space="0"/>
              <w:left w:val="single" w:color="auto" w:sz="4" w:space="0"/>
              <w:bottom w:val="single" w:color="000000" w:sz="4" w:space="0"/>
              <w:right w:val="single" w:color="auto" w:sz="4" w:space="0"/>
            </w:tcBorders>
            <w:tcW w:w="857" w:type="pct"/>
            <w:vAlign w:val="center"/>
            <w:vMerge w:val="restart"/>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安全文明</w:t>
            </w:r>
            <w:r/>
          </w:p>
        </w:tc>
        <w:tc>
          <w:tcPr>
            <w:tcBorders>
              <w:top w:val="single" w:color="auto"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确保市政设施安全运行；职工需接受安全教育和上岗培训，严格执行操作规程；施工现场围护到位、警示标志设置齐全、施工人员按操作规程穿戴防护用具。</w:t>
            </w:r>
            <w:r/>
          </w:p>
        </w:tc>
        <w:tc>
          <w:tcPr>
            <w:tcBorders>
              <w:top w:val="single" w:color="auto"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因养护管理不到位造成设施受损、桥洞火灾、人员伤亡等，一次扣5分；职工未接受安全教育或上岗培训，扣0.5分/次；未按操作规程作业，一次扣1分；施工现场围护不到位或安全警示标志设置不到位，一次扣1分；作业人员未穿戴防护用具，一人次扣0.5分。</w:t>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000000" w:sz="4" w:space="0"/>
              <w:right w:val="single" w:color="auto" w:sz="4" w:space="0"/>
            </w:tcBorders>
            <w:tcW w:w="857" w:type="pct"/>
            <w:vAlign w:val="center"/>
            <w:vMerge w:val="continue"/>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养护作业不扰民、施工噪音不超标、施工围挡规范整洁、施工材料堆放整齐、施工作业有防尘措施、作业垃圾及时清运，做到</w:t>
            </w:r>
            <w:r>
              <w:rPr>
                <w:rFonts w:hint="eastAsia"/>
                <w:color w:val="000000" w:themeColor="text1"/>
                <w:szCs w:val="21"/>
                <w:lang w:val="en-US" w:eastAsia="zh-CN"/>
                <w14:textFill>
                  <w14:solidFill>
                    <w14:schemeClr w14:val="tx1"/>
                  </w14:solidFill>
                </w14:textFill>
              </w:rPr>
              <w:t xml:space="preserve">完工清场</w:t>
            </w:r>
            <w:r>
              <w:rPr>
                <w:color w:val="000000" w:themeColor="text1"/>
                <w:szCs w:val="21"/>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因施工噪音、扬尘等被投诉的，一次扣1分；施工围挡不规范整洁的，一处扣1分；作业垃圾未及时清运、不</w:t>
            </w:r>
            <w:r>
              <w:rPr>
                <w:rFonts w:hint="eastAsia"/>
                <w:color w:val="000000" w:themeColor="text1"/>
                <w:szCs w:val="21"/>
                <w:lang w:val="en-US" w:eastAsia="zh-CN"/>
                <w14:textFill>
                  <w14:solidFill>
                    <w14:schemeClr w14:val="tx1"/>
                  </w14:solidFill>
                </w14:textFill>
              </w:rPr>
              <w:t xml:space="preserve">完工清场</w:t>
            </w:r>
            <w:r>
              <w:rPr>
                <w:color w:val="000000" w:themeColor="text1"/>
                <w:szCs w:val="21"/>
                <w14:textFill>
                  <w14:solidFill>
                    <w14:schemeClr w14:val="tx1"/>
                  </w14:solidFill>
                </w14:textFill>
              </w:rPr>
              <w:t xml:space="preserve">的，一次扣1分。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857" w:type="pct"/>
            <w:vAlign w:val="center"/>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指令性任务</w:t>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配合</w:t>
            </w:r>
            <w:r>
              <w:rPr>
                <w:rFonts w:hint="eastAsia"/>
                <w:color w:val="000000" w:themeColor="text1"/>
                <w:szCs w:val="21"/>
                <w:lang w:val="en-US" w:eastAsia="zh-CN"/>
                <w14:textFill>
                  <w14:solidFill>
                    <w14:schemeClr w14:val="tx1"/>
                  </w14:solidFill>
                </w14:textFill>
              </w:rPr>
              <w:t xml:space="preserve">省、市、区</w:t>
            </w:r>
            <w:r>
              <w:rPr>
                <w:color w:val="000000" w:themeColor="text1"/>
                <w:szCs w:val="21"/>
                <w14:textFill>
                  <w14:solidFill>
                    <w14:schemeClr w14:val="tx1"/>
                  </w14:solidFill>
                </w14:textFill>
              </w:rPr>
              <w:t xml:space="preserve">大型活动，不扣分、不失分，认真完成各项指令性任务。</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在创建等省、市大型活动中失分或被上级领导批评的，一次扣2分；未完成指令性任务的，一项扣2分。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857" w:type="pct"/>
            <w:vAlign w:val="center"/>
            <w:textDirection w:val="lrTb"/>
            <w:noWrap w:val="false"/>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媒体舆情</w:t>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不发生市政管养方面的有责新闻曝光事件</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653" w:type="pct"/>
            <w:vAlign w:val="center"/>
            <w:textDirection w:val="lrTb"/>
            <w:noWrap w:val="false"/>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发生有责新闻曝光事件，一件扣3-5分，事后未及时处理</w:t>
            </w:r>
            <w:r>
              <w:rPr>
                <w:rFonts w:hint="eastAsia"/>
                <w:color w:val="000000" w:themeColor="text1"/>
                <w:szCs w:val="21"/>
                <w:lang w:val="en-US" w:eastAsia="zh-CN"/>
                <w14:textFill>
                  <w14:solidFill>
                    <w14:schemeClr w14:val="tx1"/>
                  </w14:solidFill>
                </w14:textFill>
              </w:rPr>
              <w:t xml:space="preserve">且</w:t>
            </w:r>
            <w:r>
              <w:rPr>
                <w:color w:val="000000" w:themeColor="text1"/>
                <w:szCs w:val="21"/>
                <w14:textFill>
                  <w14:solidFill>
                    <w14:schemeClr w14:val="tx1"/>
                  </w14:solidFill>
                </w14:textFill>
              </w:rPr>
              <w:t xml:space="preserve">主动与媒体回应的，加扣2-3分，被媒体连续跟踪曝光的全额扣分。</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tcBorders>
              <w:top w:val="none" w:color="000000" w:sz="4" w:space="0"/>
              <w:left w:val="single" w:color="auto" w:sz="4" w:space="0"/>
              <w:bottom w:val="single" w:color="auto" w:sz="4" w:space="0"/>
              <w:right w:val="single" w:color="auto" w:sz="4" w:space="0"/>
            </w:tcBorders>
            <w:tcW w:w="857"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总分</w:t>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3" w:type="pct"/>
            <w:vAlign w:val="center"/>
            <w:textDirection w:val="lrTb"/>
            <w:noWrap/>
          </w:tcPr>
          <w:p>
            <w:pPr>
              <w:jc w:val="cente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653" w:type="pct"/>
            <w:textDirection w:val="lrTb"/>
            <w:noWrap/>
          </w:tcPr>
          <w:p>
            <w:pPr>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4"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22" w:type="pct"/>
            <w:vAlign w:val="center"/>
            <w:textDirection w:val="lrTb"/>
            <w:noWrap/>
          </w:tcPr>
          <w:p>
            <w:pPr>
              <w:jc w:val="left"/>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p>
        </w:tc>
      </w:tr>
      <w:tr>
        <w:trPr>
          <w:trHeight w:val="567"/>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both"/>
              <w:spacing w:line="240" w:lineRule="auto"/>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考核人员签字：</w:t>
            </w:r>
            <w:r/>
          </w:p>
        </w:tc>
      </w:tr>
    </w:tbl>
    <w:p>
      <w:pPr>
        <w:pStyle w:val="686"/>
        <w:jc w:val="center"/>
        <w:spacing w:line="24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86"/>
        <w:jc w:val="center"/>
        <w:keepLines/>
        <w:keepNext/>
        <w:pageBreakBefore w:val="0"/>
        <w:spacing w:before="0" w:after="0" w:line="240" w:lineRule="auto"/>
        <w:widowControl w:val="off"/>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40"/>
          <w:szCs w:val="40"/>
          <w14:textFill>
            <w14:solidFill>
              <w14:schemeClr w14:val="tx1"/>
            </w14:solidFill>
          </w14:textFill>
        </w:rPr>
        <w:t xml:space="preserve">第</w:t>
      </w:r>
      <w:bookmarkEnd w:id="158"/>
      <w:r>
        <w:rPr>
          <w:rFonts w:hint="eastAsia" w:asciiTheme="minorEastAsia" w:hAnsiTheme="minorEastAsia" w:eastAsiaTheme="minorEastAsia" w:cstheme="minorEastAsia"/>
          <w:color w:val="000000" w:themeColor="text1"/>
          <w:sz w:val="40"/>
          <w:szCs w:val="40"/>
          <w14:textFill>
            <w14:solidFill>
              <w14:schemeClr w14:val="tx1"/>
            </w14:solidFill>
          </w14:textFill>
        </w:rPr>
        <w:t xml:space="preserve">四章 采购需求</w:t>
      </w:r>
      <w:bookmarkEnd w:id="159"/>
      <w:r/>
      <w:bookmarkEnd w:id="160"/>
      <w:r/>
      <w:bookmarkEnd w:id="161"/>
      <w:r/>
      <w:bookmarkStart w:id="165" w:name="_Toc26554093"/>
      <w:r/>
      <w:bookmarkStart w:id="166" w:name="_Toc49090575"/>
      <w:r/>
      <w:r/>
    </w:p>
    <w:p>
      <w:pPr>
        <w:spacing w:line="360" w:lineRule="auto"/>
        <w:rPr>
          <w:rFonts w:hint="eastAsia"/>
          <w:b/>
          <w:bCs/>
          <w:color w:val="000000" w:themeColor="text1"/>
          <w:lang w:val="en-US" w:eastAsia="zh-CN"/>
          <w14:textFill>
            <w14:solidFill>
              <w14:schemeClr w14:val="tx1"/>
            </w14:solidFill>
          </w14:textFill>
        </w:rPr>
      </w:pPr>
      <w:r/>
      <w:bookmarkStart w:id="167" w:name="_Toc120614281"/>
      <w:r>
        <w:rPr>
          <w:rFonts w:hint="eastAsia"/>
          <w:b/>
          <w:bCs/>
          <w:color w:val="000000" w:themeColor="text1"/>
          <w:lang w:val="en-US" w:eastAsia="zh-CN"/>
          <w14:textFill>
            <w14:solidFill>
              <w14:schemeClr w14:val="tx1"/>
            </w14:solidFill>
          </w14:textFill>
        </w:rPr>
        <w:t xml:space="preserve">一、技术要求</w:t>
      </w:r>
      <w:r/>
    </w:p>
    <w:tbl>
      <w:tblPr>
        <w:tblStyle w:val="690"/>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2217"/>
        <w:gridCol w:w="792"/>
        <w:gridCol w:w="838"/>
        <w:gridCol w:w="4874"/>
      </w:tblGrid>
      <w:tr>
        <w:trPr>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center"/>
              <w:keepLines w:val="0"/>
              <w:keepNext w:val="0"/>
              <w:spacing w:line="240" w:lineRule="auto"/>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2025-2026、2026-2027年大丰城区主次干道、桥梁、排水等市政设施及标志标线、栏杆等道路交通设施养护项目采购包一（东宁路以西(不含东宁路)）</w:t>
            </w:r>
            <w:r/>
          </w:p>
        </w:tc>
      </w:tr>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4905"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3"/>
            <w:shd w:val="clear" w:color="auto" w:fill="fce4d6"/>
            <w:tcBorders>
              <w:top w:val="single" w:color="000000" w:sz="4" w:space="0"/>
              <w:left w:val="single" w:color="000000" w:sz="4" w:space="0"/>
              <w:bottom w:val="single" w:color="000000" w:sz="4" w:space="0"/>
              <w:right w:val="single" w:color="000000" w:sz="4" w:space="0"/>
            </w:tcBorders>
            <w:tcW w:w="6540" w:type="dxa"/>
            <w:vAlign w:val="center"/>
            <w:textDirection w:val="lrTb"/>
            <w:noWrap w:val="false"/>
          </w:tcPr>
          <w:p>
            <w:pPr>
              <w:jc w:val="left"/>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4"/>
            <w:shd w:val="clear" w:color="auto" w:fill="ddebf7"/>
            <w:tcBorders>
              <w:top w:val="single" w:color="000000" w:sz="4" w:space="0"/>
              <w:left w:val="single" w:color="000000" w:sz="4" w:space="0"/>
              <w:bottom w:val="single" w:color="000000" w:sz="4" w:space="0"/>
              <w:right w:val="none" w:color="000000" w:sz="4" w:space="0"/>
            </w:tcBorders>
            <w:tcW w:w="876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（六）</w:t>
            </w:r>
            <w:r/>
          </w:p>
        </w:tc>
        <w:tc>
          <w:tcPr>
            <w:gridSpan w:val="4"/>
            <w:shd w:val="clear" w:color="auto" w:fill="ddebf7"/>
            <w:tcBorders>
              <w:top w:val="single" w:color="000000" w:sz="4" w:space="0"/>
              <w:left w:val="single" w:color="000000" w:sz="4" w:space="0"/>
              <w:bottom w:val="single" w:color="000000" w:sz="4" w:space="0"/>
              <w:right w:val="none" w:color="000000" w:sz="4" w:space="0"/>
            </w:tcBorders>
            <w:tcW w:w="876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井盖专项整治（小计）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2、浇筑20cm厚C25混凝土，2m*2m 内配Φ12@150mm 双层双向钢筋网；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r>
    </w:tbl>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tbl>
      <w:tblPr>
        <w:tblStyle w:val="690"/>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2217"/>
        <w:gridCol w:w="792"/>
        <w:gridCol w:w="839"/>
        <w:gridCol w:w="4873"/>
      </w:tblGrid>
      <w:tr>
        <w:trP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601" w:type="dxa"/>
            <w:vAlign w:val="center"/>
            <w:textDirection w:val="lrTb"/>
            <w:noWrap w:val="false"/>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2025-2026、2026-2027年大丰城区主次干道、桥梁、排水等市政设施及标志标线、栏杆等道路交通设施养护项目采购包二（东宁路（含）以东、五一路（含）以西、幸福路（不含）以北）</w:t>
            </w:r>
            <w:r/>
          </w:p>
        </w:tc>
      </w:tr>
      <w:tr>
        <w:trPr>
          <w:trHeight w:val="567"/>
        </w:trPr>
        <w:tc>
          <w:tcPr>
            <w:shd w:val="clear" w:color="auto" w:fill="auto"/>
            <w:tcBorders>
              <w:top w:val="single" w:color="000000" w:sz="8"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49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r>
      <w:tr>
        <w:trP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3"/>
            <w:shd w:val="clear" w:color="auto" w:fill="fce4d6"/>
            <w:tcBorders>
              <w:top w:val="single" w:color="000000" w:sz="4" w:space="0"/>
              <w:left w:val="single" w:color="000000" w:sz="4" w:space="0"/>
              <w:bottom w:val="single" w:color="000000" w:sz="4" w:space="0"/>
              <w:right w:val="single" w:color="000000" w:sz="4" w:space="0"/>
            </w:tcBorders>
            <w:tcW w:w="6540" w:type="dxa"/>
            <w:vAlign w:val="center"/>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r>
      <w:tr>
        <w:trP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r>
      <w:tr>
        <w:trP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r>
      <w:tr>
        <w:trP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2、浇筑20cm厚C25混凝土，2m*2m 内配Φ12@150mm 双层双向钢筋网；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r>
      <w:tr>
        <w:trP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r>
    </w:tbl>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tbl>
      <w:tblPr>
        <w:tblStyle w:val="690"/>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2217"/>
        <w:gridCol w:w="792"/>
        <w:gridCol w:w="839"/>
        <w:gridCol w:w="4873"/>
      </w:tblGrid>
      <w:tr>
        <w:trPr>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601" w:type="dxa"/>
            <w:vAlign w:val="center"/>
            <w:textDirection w:val="lrTb"/>
            <w:noWrap w:val="false"/>
          </w:tcPr>
          <w:p>
            <w:pPr>
              <w:jc w:val="center"/>
              <w:keepLines w:val="0"/>
              <w:keepNext w:val="0"/>
              <w:pageBreakBefore w:val="0"/>
              <w:spacing w:line="240" w:lineRule="auto"/>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2025-2026、2026-2027年大丰城区主次干道、桥梁、排水等市政设施及标志标线、栏杆等道路交通设施养护项目采购包三（东宁路（含）以东、五一路（含）以西、幸福路（含）以南）</w:t>
            </w:r>
            <w:r/>
          </w:p>
        </w:tc>
      </w:tr>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49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3"/>
            <w:shd w:val="clear" w:color="auto" w:fill="fce4d6"/>
            <w:tcBorders>
              <w:top w:val="single" w:color="000000" w:sz="4" w:space="0"/>
              <w:left w:val="single" w:color="000000" w:sz="4" w:space="0"/>
              <w:bottom w:val="single" w:color="000000" w:sz="4" w:space="0"/>
              <w:right w:val="single" w:color="000000" w:sz="4" w:space="0"/>
            </w:tcBorders>
            <w:tcW w:w="6540" w:type="dxa"/>
            <w:vAlign w:val="center"/>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2、浇筑20cm厚C25混凝土，2m*2m 内配Φ12@150mm 双层双向钢筋网；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r>
    </w:tbl>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tbl>
      <w:tblPr>
        <w:tblStyle w:val="690"/>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2217"/>
        <w:gridCol w:w="792"/>
        <w:gridCol w:w="839"/>
        <w:gridCol w:w="4873"/>
      </w:tblGrid>
      <w:tr>
        <w:trPr>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601" w:type="dxa"/>
            <w:vAlign w:val="center"/>
            <w:textDirection w:val="lrTb"/>
            <w:noWrap w:val="false"/>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2025-2026、2026-2027年大丰城区主次干道、桥梁、排水等市政设施及标志标线、栏杆等道路交通设施养护项目采购包四（五一路（不含）以东）</w:t>
            </w:r>
            <w:r/>
          </w:p>
        </w:tc>
      </w:tr>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49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3"/>
            <w:shd w:val="clear" w:color="auto" w:fill="fce4d6"/>
            <w:tcBorders>
              <w:top w:val="single" w:color="000000" w:sz="4" w:space="0"/>
              <w:left w:val="single" w:color="000000" w:sz="4" w:space="0"/>
              <w:bottom w:val="single" w:color="000000" w:sz="4" w:space="0"/>
              <w:right w:val="single" w:color="000000" w:sz="4" w:space="0"/>
            </w:tcBorders>
            <w:tcW w:w="6540" w:type="dxa"/>
            <w:vAlign w:val="center"/>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r>
      <w:tr>
        <w:trPr>
          <w:jc w:val="center"/>
          <w:trHeight w:val="567"/>
        </w:trPr>
        <w:tc>
          <w:tcPr>
            <w:shd w:val="clear" w:color="auto" w:fill="ddebf7"/>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4"/>
            <w:shd w:val="clear" w:color="auto" w:fill="ddebf7"/>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w:t>
            </w:r>
            <w:r>
              <w:rPr>
                <w:rFonts w:hint="eastAsia" w:ascii="仿宋" w:hAnsi="仿宋" w:eastAsia="仿宋" w:cs="仿宋"/>
                <w:i w:val="0"/>
                <w:iCs w:val="0"/>
                <w:color w:val="000000"/>
                <w:sz w:val="24"/>
                <w:szCs w:val="24"/>
                <w:u w:val="none"/>
                <w:lang w:val="en-US" w:eastAsia="zh-CN" w:bidi="ar"/>
              </w:rPr>
              <w:t xml:space="preserve">面切缝及破除，垃圾清运；</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2、浇筑20cm厚C25混凝土，2m*2m 内配Φ12@150mm 双</w:t>
            </w:r>
            <w:r>
              <w:rPr>
                <w:rFonts w:hint="eastAsia" w:ascii="仿宋" w:hAnsi="仿宋" w:eastAsia="仿宋" w:cs="仿宋"/>
                <w:i w:val="0"/>
                <w:iCs w:val="0"/>
                <w:color w:val="000000"/>
                <w:sz w:val="22"/>
                <w:szCs w:val="22"/>
                <w:u w:val="none"/>
                <w:lang w:val="en-US" w:eastAsia="zh-CN" w:bidi="ar"/>
              </w:rPr>
              <w:t xml:space="preserve">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1"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r>
    </w:tbl>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tbl>
      <w:tblPr>
        <w:tblStyle w:val="690"/>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
        <w:gridCol w:w="2220"/>
        <w:gridCol w:w="795"/>
        <w:gridCol w:w="841"/>
        <w:gridCol w:w="4903"/>
      </w:tblGrid>
      <w:tr>
        <w:trPr>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603" w:type="dxa"/>
            <w:vAlign w:val="center"/>
            <w:textDirection w:val="lrTb"/>
            <w:noWrap w:val="false"/>
          </w:tcPr>
          <w:p>
            <w:pPr>
              <w:jc w:val="center"/>
              <w:keepLines w:val="0"/>
              <w:keepNext w:val="0"/>
              <w:spacing w:line="240" w:lineRule="auto"/>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2025-2026、2026-2027年大丰城区主次干道、桥梁、排水等市政设施及标志标线、栏杆等道路交通设施养护项目采购包五（地下部分：东宁路（含）以西）</w:t>
            </w:r>
            <w:r/>
          </w:p>
        </w:tc>
      </w:tr>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4905"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管道、井清淤</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清理雨水进水井（所有型号）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2、综合考虑各种规格雨水进水井的清理；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清掏检查井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2、适用井径≤1000mm的井；</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QV检测，提供检测报告及其他等满足招标文件质量要求</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管道CCTV检测，管网管径综合考虑；CCTV检测提供检测报告及其他满足招标文件质量要求</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2、疏通管径：＜300mm；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2、疏通管径：600mm≤管径＜1200mm；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ff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清理明沟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1509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检查井升高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2、井壁砌筑、抹灰、井盖重新安放（材料利旧）、面层恢复；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3、不区分井径大小及抬升的高度，结算时均按此单价结算。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检查井降低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2、井壁拆除、抹灰找补、井盖重新安放（材料利旧）、面层恢复；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3、不区分井径大小及降低的高度，结算时均按此单价结算。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防坠网、截污篮等</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检查井防坠网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1、启闭井盖、安装膨胀钩 、安装防坠网；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2、材质：尼龙绳，承重≥ 300kg。</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2、尺寸：配套300*500mm雨水箅子；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2、尺寸：适用于300*500mm雨水箅子的规格，厚度1mm；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top"/>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r>
    </w:tbl>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tbl>
      <w:tblPr>
        <w:tblStyle w:val="690"/>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
        <w:gridCol w:w="2220"/>
        <w:gridCol w:w="795"/>
        <w:gridCol w:w="841"/>
        <w:gridCol w:w="4903"/>
      </w:tblGrid>
      <w:tr>
        <w:trPr>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603" w:type="dxa"/>
            <w:vAlign w:val="center"/>
            <w:textDirection w:val="lrTb"/>
            <w:noWrap w:val="false"/>
          </w:tcPr>
          <w:p>
            <w:pPr>
              <w:jc w:val="center"/>
              <w:keepLines w:val="0"/>
              <w:keepNext w:val="0"/>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2025-2026、2026-2027年大丰城区主次干道、桥梁、排水等市政设施及标志标线、栏杆等道路交通设施养护项目采购包六（地下部分：东宁路（不含）以东）</w:t>
            </w:r>
            <w:r/>
          </w:p>
        </w:tc>
      </w:tr>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49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管道、井清淤</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清理雨水进水井（所有型号）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2、综合考虑各种规格雨水进水井的清理；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清掏检查井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2、适用井径≤1000mm的井；</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QV检测，提供检测报告及其他等满足招标文件质量要求</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管道CCTV检测，管网管径综合考虑；CCTV检测提供检测报告及其他满足招标文件质量要求</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2、疏通管径：＜300mm；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2、疏通管径：600mm≤管径＜1200mm；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ff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清理明沟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1201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3、无论现场实际施工情况如何，结算时此项单价不予调整</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检查井升高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2、井壁砌筑、抹灰、井盖重新安放（材料利旧）、面层恢复；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3、不区分井径大小及抬升的高度，结算时均按此单价结算。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检查井降低</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2、井壁拆除、抹灰找补、井盖重新安放（材料利旧）、面层恢复；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3、不区分井径大小及降低的高度，结算时均按此单价结算。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防坠网、截污篮等</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检查井防坠网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1、启闭井盖、安装膨胀钩 、安装防坠网；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2、材质：尼龙绳，承重≥ 300kg。</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2、尺寸：配套300*500mm雨水箅子；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2、尺寸：适用于300*500mm雨水箅子的规格，厚度1mm；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top"/>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r>
    </w:tbl>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tbl>
      <w:tblPr>
        <w:tblStyle w:val="690"/>
        <w:tblW w:w="98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6"/>
        <w:gridCol w:w="1204"/>
        <w:gridCol w:w="2930"/>
        <w:gridCol w:w="811"/>
        <w:gridCol w:w="556"/>
        <w:gridCol w:w="3553"/>
      </w:tblGrid>
      <w:tr>
        <w:trPr>
          <w:jc w:val="center"/>
          <w:trHeight w:val="1340"/>
        </w:trPr>
        <w:tc>
          <w:tcPr>
            <w:gridSpan w:val="6"/>
            <w:shd w:val="clear" w:color="auto" w:fill="auto"/>
            <w:tcBorders>
              <w:top w:val="none" w:color="000000" w:sz="4" w:space="0"/>
              <w:left w:val="none" w:color="000000" w:sz="4" w:space="0"/>
              <w:bottom w:val="none" w:color="000000" w:sz="4" w:space="0"/>
              <w:right w:val="single" w:color="000000" w:sz="4" w:space="0"/>
            </w:tcBorders>
            <w:tcW w:w="9870" w:type="dxa"/>
            <w:vAlign w:val="center"/>
            <w:textDirection w:val="lrTb"/>
            <w:noWrap w:val="false"/>
          </w:tcPr>
          <w:p>
            <w:pPr>
              <w:jc w:val="center"/>
              <w:keepLines w:val="0"/>
              <w:keepNext w:val="0"/>
              <w:spacing w:line="240" w:lineRule="auto"/>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2025-2026、2026-2027年大丰城区主次干道、桥梁、排水等市政设施及标志标线、栏杆等道路交通设施养护项目采购包七（东宁路（不含）以西：广告、标牌、标线、交通信号灯）</w:t>
            </w:r>
            <w:r/>
          </w:p>
        </w:tc>
      </w:tr>
      <w:tr>
        <w:trPr>
          <w:jc w:val="center"/>
          <w:trHeight w:val="480"/>
        </w:trPr>
        <w:tc>
          <w:tcPr>
            <w:shd w:val="clear" w:color="auto" w:fill="ffffff"/>
            <w:tcBorders>
              <w:top w:val="single" w:color="000000" w:sz="8"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图片（部分样式，具体以道路实际为准）</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366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规格/型号</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9870" w:type="dxa"/>
            <w:vAlign w:val="center"/>
            <w:textDirection w:val="lrTb"/>
            <w:noWrap w:val="false"/>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一、单柱式交通标志牌</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三角形标志牌牌面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wp:posOffset>
                      </wp:positionH>
                      <wp:positionV relativeFrom="paragraph">
                        <wp:posOffset>534035</wp:posOffset>
                      </wp:positionV>
                      <wp:extent cx="662940" cy="530860"/>
                      <wp:effectExtent l="0" t="0" r="3810" b="2540"/>
                      <wp:wrapNone/>
                      <wp:docPr id="3" name="图片_1"/>
                      <wp:cNvGraphicFramePr/>
                      <a:graphic xmlns:a="http://schemas.openxmlformats.org/drawingml/2006/main">
                        <a:graphicData uri="http://schemas.openxmlformats.org/drawingml/2006/picture">
                          <pic:pic xmlns:pic="http://schemas.openxmlformats.org/drawingml/2006/picture">
                            <pic:nvPicPr>
                              <pic:cNvPr id="55" name="图片_1"/>
                              <pic:cNvPicPr/>
                              <pic:nvPr/>
                            </pic:nvPicPr>
                            <pic:blipFill>
                              <a:blip r:embed="rId14"/>
                              <a:stretch/>
                            </pic:blipFill>
                            <pic:spPr bwMode="auto">
                              <a:xfrm>
                                <a:off x="0" y="0"/>
                                <a:ext cx="662940"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8pt;mso-position-horizontal:absolute;mso-position-vertical-relative:text;margin-top:42.0pt;mso-position-vertical:absolute;width:52.2pt;height:41.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1574800</wp:posOffset>
                      </wp:positionV>
                      <wp:extent cx="588010" cy="492760"/>
                      <wp:effectExtent l="0" t="0" r="2540" b="2540"/>
                      <wp:wrapNone/>
                      <wp:docPr id="4" name="图片_2"/>
                      <wp:cNvGraphicFramePr/>
                      <a:graphic xmlns:a="http://schemas.openxmlformats.org/drawingml/2006/main">
                        <a:graphicData uri="http://schemas.openxmlformats.org/drawingml/2006/picture">
                          <pic:pic xmlns:pic="http://schemas.openxmlformats.org/drawingml/2006/picture">
                            <pic:nvPicPr>
                              <pic:cNvPr id="61" name="图片_2"/>
                              <pic:cNvPicPr/>
                              <pic:nvPr/>
                            </pic:nvPicPr>
                            <pic:blipFill>
                              <a:blip r:embed="rId15"/>
                              <a:stretch/>
                            </pic:blipFill>
                            <pic:spPr bwMode="auto">
                              <a:xfrm>
                                <a:off x="0" y="0"/>
                                <a:ext cx="58801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6.5pt;mso-position-horizontal:absolute;mso-position-vertical-relative:text;margin-top:124.0pt;mso-position-vertical:absolute;width:46.3pt;height:38.8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614045</wp:posOffset>
                      </wp:positionH>
                      <wp:positionV relativeFrom="paragraph">
                        <wp:posOffset>527050</wp:posOffset>
                      </wp:positionV>
                      <wp:extent cx="687070" cy="510540"/>
                      <wp:effectExtent l="0" t="0" r="17780" b="3810"/>
                      <wp:wrapNone/>
                      <wp:docPr id="5" name="图片_3"/>
                      <wp:cNvGraphicFramePr/>
                      <a:graphic xmlns:a="http://schemas.openxmlformats.org/drawingml/2006/main">
                        <a:graphicData uri="http://schemas.openxmlformats.org/drawingml/2006/picture">
                          <pic:pic xmlns:pic="http://schemas.openxmlformats.org/drawingml/2006/picture">
                            <pic:nvPicPr>
                              <pic:cNvPr id="50" name="图片_3"/>
                              <pic:cNvPicPr/>
                              <pic:nvPr/>
                            </pic:nvPicPr>
                            <pic:blipFill>
                              <a:blip r:embed="rId16"/>
                              <a:stretch/>
                            </pic:blipFill>
                            <pic:spPr bwMode="auto">
                              <a:xfrm>
                                <a:off x="0" y="0"/>
                                <a:ext cx="687069"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48.3pt;mso-position-horizontal:absolute;mso-position-vertical-relative:text;margin-top:41.5pt;mso-position-vertical:absolute;width:54.1pt;height:40.2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671830</wp:posOffset>
                      </wp:positionH>
                      <wp:positionV relativeFrom="paragraph">
                        <wp:posOffset>1582420</wp:posOffset>
                      </wp:positionV>
                      <wp:extent cx="658495" cy="569595"/>
                      <wp:effectExtent l="0" t="0" r="8255" b="1905"/>
                      <wp:wrapNone/>
                      <wp:docPr id="6" name="图片_4"/>
                      <wp:cNvGraphicFramePr/>
                      <a:graphic xmlns:a="http://schemas.openxmlformats.org/drawingml/2006/main">
                        <a:graphicData uri="http://schemas.openxmlformats.org/drawingml/2006/picture">
                          <pic:pic xmlns:pic="http://schemas.openxmlformats.org/drawingml/2006/picture">
                            <pic:nvPicPr>
                              <pic:cNvPr id="57" name="图片_4"/>
                              <pic:cNvPicPr/>
                              <pic:nvPr/>
                            </pic:nvPicPr>
                            <pic:blipFill>
                              <a:blip r:embed="rId17"/>
                              <a:stretch/>
                            </pic:blipFill>
                            <pic:spPr bwMode="auto">
                              <a:xfrm>
                                <a:off x="0" y="0"/>
                                <a:ext cx="65849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52.9pt;mso-position-horizontal:absolute;mso-position-vertical-relative:text;margin-top:124.6pt;mso-position-vertical:absolute;width:51.8pt;height:44.8pt;mso-wrap-distance-left:9.0pt;mso-wrap-distance-top:0.0pt;mso-wrap-distance-right:9.0pt;mso-wrap-distance-bottom:0.0pt;" stroked="f">
                      <v:path textboxrect="0,0,0,0"/>
                      <v:imagedata r:id="rId1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1、△L=700mm；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1、△L=900mm；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1、△L=1100mm；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1、△L=1300mm；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圆形（包含八角形）标志牌牌面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22860</wp:posOffset>
                      </wp:positionH>
                      <wp:positionV relativeFrom="paragraph">
                        <wp:posOffset>1828800</wp:posOffset>
                      </wp:positionV>
                      <wp:extent cx="727075" cy="565785"/>
                      <wp:effectExtent l="0" t="0" r="15875" b="5715"/>
                      <wp:wrapNone/>
                      <wp:docPr id="7" name="图片_9"/>
                      <wp:cNvGraphicFramePr/>
                      <a:graphic xmlns:a="http://schemas.openxmlformats.org/drawingml/2006/main">
                        <a:graphicData uri="http://schemas.openxmlformats.org/drawingml/2006/picture">
                          <pic:pic xmlns:pic="http://schemas.openxmlformats.org/drawingml/2006/picture">
                            <pic:nvPicPr>
                              <pic:cNvPr id="60" name="图片_9"/>
                              <pic:cNvPicPr/>
                              <pic:nvPr/>
                            </pic:nvPicPr>
                            <pic:blipFill>
                              <a:blip r:embed="rId18"/>
                              <a:stretch/>
                            </pic:blipFill>
                            <pic:spPr bwMode="auto">
                              <a:xfrm>
                                <a:off x="0" y="0"/>
                                <a:ext cx="727075"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8pt;mso-position-horizontal:absolute;mso-position-vertical-relative:text;margin-top:144.0pt;mso-position-vertical:absolute;width:57.2pt;height:44.5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770890</wp:posOffset>
                      </wp:positionV>
                      <wp:extent cx="681355" cy="561340"/>
                      <wp:effectExtent l="0" t="0" r="4445" b="10160"/>
                      <wp:wrapNone/>
                      <wp:docPr id="8" name="图片_7"/>
                      <wp:cNvGraphicFramePr/>
                      <a:graphic xmlns:a="http://schemas.openxmlformats.org/drawingml/2006/main">
                        <a:graphicData uri="http://schemas.openxmlformats.org/drawingml/2006/picture">
                          <pic:pic xmlns:pic="http://schemas.openxmlformats.org/drawingml/2006/picture">
                            <pic:nvPicPr>
                              <pic:cNvPr id="58" name="图片_7"/>
                              <pic:cNvPicPr/>
                              <pic:nvPr/>
                            </pic:nvPicPr>
                            <pic:blipFill>
                              <a:blip r:embed="rId19"/>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2.4pt;mso-position-horizontal:absolute;mso-position-vertical-relative:text;margin-top:60.7pt;mso-position-vertical:absolute;width:53.6pt;height:44.2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723265</wp:posOffset>
                      </wp:positionH>
                      <wp:positionV relativeFrom="paragraph">
                        <wp:posOffset>1828800</wp:posOffset>
                      </wp:positionV>
                      <wp:extent cx="602615" cy="557530"/>
                      <wp:effectExtent l="0" t="0" r="6985" b="13970"/>
                      <wp:wrapNone/>
                      <wp:docPr id="9" name="图片_10"/>
                      <wp:cNvGraphicFramePr/>
                      <a:graphic xmlns:a="http://schemas.openxmlformats.org/drawingml/2006/main">
                        <a:graphicData uri="http://schemas.openxmlformats.org/drawingml/2006/picture">
                          <pic:pic xmlns:pic="http://schemas.openxmlformats.org/drawingml/2006/picture">
                            <pic:nvPicPr>
                              <pic:cNvPr id="59" name="图片_10"/>
                              <pic:cNvPicPr/>
                              <pic:nvPr/>
                            </pic:nvPicPr>
                            <pic:blipFill>
                              <a:blip r:embed="rId20"/>
                              <a:stretch/>
                            </pic:blipFill>
                            <pic:spPr bwMode="auto">
                              <a:xfrm>
                                <a:off x="0" y="0"/>
                                <a:ext cx="602615" cy="557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56.9pt;mso-position-horizontal:absolute;mso-position-vertical-relative:text;margin-top:144.0pt;mso-position-vertical:absolute;width:47.4pt;height:43.9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734695</wp:posOffset>
                      </wp:positionH>
                      <wp:positionV relativeFrom="paragraph">
                        <wp:posOffset>770890</wp:posOffset>
                      </wp:positionV>
                      <wp:extent cx="638810" cy="587375"/>
                      <wp:effectExtent l="0" t="0" r="8890" b="3175"/>
                      <wp:wrapNone/>
                      <wp:docPr id="10" name="图片_8"/>
                      <wp:cNvGraphicFramePr/>
                      <a:graphic xmlns:a="http://schemas.openxmlformats.org/drawingml/2006/main">
                        <a:graphicData uri="http://schemas.openxmlformats.org/drawingml/2006/picture">
                          <pic:pic xmlns:pic="http://schemas.openxmlformats.org/drawingml/2006/picture">
                            <pic:nvPicPr>
                              <pic:cNvPr id="51" name="图片_8"/>
                              <pic:cNvPicPr/>
                              <pic:nvPr/>
                            </pic:nvPicPr>
                            <pic:blipFill>
                              <a:blip r:embed="rId21"/>
                              <a:stretch/>
                            </pic:blipFill>
                            <pic:spPr bwMode="auto">
                              <a:xfrm>
                                <a:off x="0" y="0"/>
                                <a:ext cx="63881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57.8pt;mso-position-horizontal:absolute;mso-position-vertical-relative:text;margin-top:60.7pt;mso-position-vertical:absolute;width:50.3pt;height:46.2pt;mso-wrap-distance-left:9.0pt;mso-wrap-distance-top:0.0pt;mso-wrap-distance-right:9.0pt;mso-wrap-distance-bottom:0.0pt;" stroked="f">
                      <v:path textboxrect="0,0,0,0"/>
                      <v:imagedata r:id="rId2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1、直径：Ф600mm；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1、直径：Ф800mm；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1、直径：Ф1000mm；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1、直径：Ф1200mm；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2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正方形及不规则标志牌牌面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119380</wp:posOffset>
                      </wp:positionV>
                      <wp:extent cx="723265" cy="1332865"/>
                      <wp:effectExtent l="0" t="0" r="635" b="635"/>
                      <wp:wrapNone/>
                      <wp:docPr id="11" name="图片_11"/>
                      <wp:cNvGraphicFramePr/>
                      <a:graphic xmlns:a="http://schemas.openxmlformats.org/drawingml/2006/main">
                        <a:graphicData uri="http://schemas.openxmlformats.org/drawingml/2006/picture">
                          <pic:pic xmlns:pic="http://schemas.openxmlformats.org/drawingml/2006/picture">
                            <pic:nvPicPr>
                              <pic:cNvPr id="52" name="图片_11"/>
                              <pic:cNvPicPr/>
                              <pic:nvPr/>
                            </pic:nvPicPr>
                            <pic:blipFill>
                              <a:blip r:embed="rId22"/>
                              <a:stretch/>
                            </pic:blipFill>
                            <pic:spPr bwMode="auto">
                              <a:xfrm>
                                <a:off x="0" y="0"/>
                                <a:ext cx="72326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5.5pt;mso-position-horizontal:absolute;mso-position-vertical-relative:text;margin-top:9.4pt;mso-position-vertical:absolute;width:56.9pt;height:104.9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855980</wp:posOffset>
                      </wp:positionH>
                      <wp:positionV relativeFrom="paragraph">
                        <wp:posOffset>804545</wp:posOffset>
                      </wp:positionV>
                      <wp:extent cx="527050" cy="565150"/>
                      <wp:effectExtent l="0" t="0" r="6350" b="6350"/>
                      <wp:wrapNone/>
                      <wp:docPr id="12" name="图片_12"/>
                      <wp:cNvGraphicFramePr/>
                      <a:graphic xmlns:a="http://schemas.openxmlformats.org/drawingml/2006/main">
                        <a:graphicData uri="http://schemas.openxmlformats.org/drawingml/2006/picture">
                          <pic:pic xmlns:pic="http://schemas.openxmlformats.org/drawingml/2006/picture">
                            <pic:nvPicPr>
                              <pic:cNvPr id="53" name="图片_12"/>
                              <pic:cNvPicPr/>
                              <pic:nvPr/>
                            </pic:nvPicPr>
                            <pic:blipFill>
                              <a:blip r:embed="rId23"/>
                              <a:stretch/>
                            </pic:blipFill>
                            <pic:spPr bwMode="auto">
                              <a:xfrm>
                                <a:off x="0" y="0"/>
                                <a:ext cx="52705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67.4pt;mso-position-horizontal:absolute;mso-position-vertical-relative:text;margin-top:63.3pt;mso-position-vertical:absolute;width:41.5pt;height:44.5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857250</wp:posOffset>
                      </wp:positionH>
                      <wp:positionV relativeFrom="paragraph">
                        <wp:posOffset>83185</wp:posOffset>
                      </wp:positionV>
                      <wp:extent cx="569595" cy="618490"/>
                      <wp:effectExtent l="0" t="0" r="1905" b="10160"/>
                      <wp:wrapNone/>
                      <wp:docPr id="13" name="图片_15"/>
                      <wp:cNvGraphicFramePr/>
                      <a:graphic xmlns:a="http://schemas.openxmlformats.org/drawingml/2006/main">
                        <a:graphicData uri="http://schemas.openxmlformats.org/drawingml/2006/picture">
                          <pic:pic xmlns:pic="http://schemas.openxmlformats.org/drawingml/2006/picture">
                            <pic:nvPicPr>
                              <pic:cNvPr id="54" name="图片_15"/>
                              <pic:cNvPicPr/>
                              <pic:nvPr/>
                            </pic:nvPicPr>
                            <pic:blipFill>
                              <a:blip r:embed="rId24"/>
                              <a:stretch/>
                            </pic:blipFill>
                            <pic:spPr bwMode="auto">
                              <a:xfrm>
                                <a:off x="0" y="0"/>
                                <a:ext cx="569595"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67.5pt;mso-position-horizontal:absolute;mso-position-vertical-relative:text;margin-top:6.5pt;mso-position-vertical:absolute;width:44.8pt;height:48.7pt;mso-wrap-distance-left:9.0pt;mso-wrap-distance-top:0.0pt;mso-wrap-distance-right:9.0pt;mso-wrap-distance-bottom:0.0pt;" stroked="f">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单柱式立杆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150495</wp:posOffset>
                      </wp:positionH>
                      <wp:positionV relativeFrom="paragraph">
                        <wp:posOffset>1612265</wp:posOffset>
                      </wp:positionV>
                      <wp:extent cx="1162685" cy="1484630"/>
                      <wp:effectExtent l="0" t="0" r="18415" b="1270"/>
                      <wp:wrapNone/>
                      <wp:docPr id="14" name="图片_16"/>
                      <wp:cNvGraphicFramePr/>
                      <a:graphic xmlns:a="http://schemas.openxmlformats.org/drawingml/2006/main">
                        <a:graphicData uri="http://schemas.openxmlformats.org/drawingml/2006/picture">
                          <pic:pic xmlns:pic="http://schemas.openxmlformats.org/drawingml/2006/picture">
                            <pic:nvPicPr>
                              <pic:cNvPr id="56" name="图片_16"/>
                              <pic:cNvPicPr/>
                              <pic:nvPr/>
                            </pic:nvPicPr>
                            <pic:blipFill>
                              <a:blip r:embed="rId25"/>
                              <a:stretch/>
                            </pic:blipFill>
                            <pic:spPr bwMode="auto">
                              <a:xfrm>
                                <a:off x="0" y="0"/>
                                <a:ext cx="1162685" cy="148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1.8pt;mso-position-horizontal:absolute;mso-position-vertical-relative:text;margin-top:126.9pt;mso-position-vertical:absolute;width:91.5pt;height:116.9pt;mso-wrap-distance-left:9.0pt;mso-wrap-distance-top:0.0pt;mso-wrap-distance-right:9.0pt;mso-wrap-distance-bottom:0.0pt;" stroked="f">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1、规格：Ф89*4.5mm；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1、规格：Ф76*4.5mm；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1、规格：Ф114*4.5mm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1、规格：Ф102*4.5mm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1、规格：Ф108*4.5mm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1、规格：Ф140*4.5mm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r>
      <w:tr>
        <w:trPr>
          <w:jc w:val="center"/>
          <w:trHeight w:val="17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拆除单柱式交通标志牌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1、整套拆除损坏需更换的单柱式交通标志牌；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2、拆除混凝土基础，垃圾外运，垃圾处理需满足环保部门的相关要求。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3、牌面、立杆等金属类物件经建设方确认工程量后运至建设方指定地点。</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二、单悬臂式交通标志牌（F型立杆）</w:t>
            </w:r>
            <w:r/>
          </w:p>
        </w:tc>
      </w:tr>
      <w:tr>
        <w:trPr>
          <w:jc w:val="center"/>
          <w:trHeight w:val="33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单悬臂式交通标志牌牌面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102235</wp:posOffset>
                      </wp:positionH>
                      <wp:positionV relativeFrom="paragraph">
                        <wp:posOffset>1116330</wp:posOffset>
                      </wp:positionV>
                      <wp:extent cx="1296670" cy="929640"/>
                      <wp:effectExtent l="0" t="0" r="17780" b="3810"/>
                      <wp:wrapNone/>
                      <wp:docPr id="15" name="图片_18"/>
                      <wp:cNvGraphicFramePr/>
                      <a:graphic xmlns:a="http://schemas.openxmlformats.org/drawingml/2006/main">
                        <a:graphicData uri="http://schemas.openxmlformats.org/drawingml/2006/picture">
                          <pic:pic xmlns:pic="http://schemas.openxmlformats.org/drawingml/2006/picture">
                            <pic:nvPicPr>
                              <pic:cNvPr id="62" name="图片_18"/>
                              <pic:cNvPicPr/>
                              <pic:nvPr/>
                            </pic:nvPicPr>
                            <pic:blipFill>
                              <a:blip r:embed="rId26"/>
                              <a:stretch/>
                            </pic:blipFill>
                            <pic:spPr bwMode="auto">
                              <a:xfrm>
                                <a:off x="0" y="0"/>
                                <a:ext cx="1296670"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8.0pt;mso-position-horizontal:absolute;mso-position-vertical-relative:text;margin-top:87.9pt;mso-position-vertical:absolute;width:102.1pt;height:73.2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119380</wp:posOffset>
                      </wp:positionH>
                      <wp:positionV relativeFrom="paragraph">
                        <wp:posOffset>76835</wp:posOffset>
                      </wp:positionV>
                      <wp:extent cx="1110615" cy="1019175"/>
                      <wp:effectExtent l="0" t="0" r="13335" b="9525"/>
                      <wp:wrapNone/>
                      <wp:docPr id="16" name="图片_17"/>
                      <wp:cNvGraphicFramePr/>
                      <a:graphic xmlns:a="http://schemas.openxmlformats.org/drawingml/2006/main">
                        <a:graphicData uri="http://schemas.openxmlformats.org/drawingml/2006/picture">
                          <pic:pic xmlns:pic="http://schemas.openxmlformats.org/drawingml/2006/picture">
                            <pic:nvPicPr>
                              <pic:cNvPr id="66" name="图片_17"/>
                              <pic:cNvPicPr/>
                              <pic:nvPr/>
                            </pic:nvPicPr>
                            <pic:blipFill>
                              <a:blip r:embed="rId27"/>
                              <a:stretch/>
                            </pic:blipFill>
                            <pic:spPr bwMode="auto">
                              <a:xfrm>
                                <a:off x="0" y="0"/>
                                <a:ext cx="111061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9.4pt;mso-position-horizontal:absolute;mso-position-vertical-relative:text;margin-top:6.0pt;mso-position-vertical:absolute;width:87.5pt;height:80.2pt;mso-wrap-distance-left:9.0pt;mso-wrap-distance-top:0.0pt;mso-wrap-distance-right:9.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3、板面覆Ⅲ类反光膜及所需的文字、标志图，反光膜需符合《GB/T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171450</wp:posOffset>
                      </wp:positionH>
                      <wp:positionV relativeFrom="paragraph">
                        <wp:posOffset>746760</wp:posOffset>
                      </wp:positionV>
                      <wp:extent cx="1184910" cy="2806700"/>
                      <wp:effectExtent l="0" t="0" r="15240" b="12700"/>
                      <wp:wrapNone/>
                      <wp:docPr id="17" name="图片_19"/>
                      <wp:cNvGraphicFramePr/>
                      <a:graphic xmlns:a="http://schemas.openxmlformats.org/drawingml/2006/main">
                        <a:graphicData uri="http://schemas.openxmlformats.org/drawingml/2006/picture">
                          <pic:pic xmlns:pic="http://schemas.openxmlformats.org/drawingml/2006/picture">
                            <pic:nvPicPr>
                              <pic:cNvPr id="71" name="图片_19"/>
                              <pic:cNvPicPr/>
                              <pic:nvPr/>
                            </pic:nvPicPr>
                            <pic:blipFill>
                              <a:blip r:embed="rId28"/>
                              <a:stretch/>
                            </pic:blipFill>
                            <pic:spPr bwMode="auto">
                              <a:xfrm>
                                <a:off x="0" y="0"/>
                                <a:ext cx="1184910" cy="280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13.5pt;mso-position-horizontal:absolute;mso-position-vertical-relative:text;margin-top:58.8pt;mso-position-vertical:absolute;width:93.3pt;height:221.0pt;mso-wrap-distance-left:9.0pt;mso-wrap-distance-top:0.0pt;mso-wrap-distance-right:9.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1、立杆规格：Ф203*8mm，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1、横臂规格：Ф102*6mm；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vertAlign w:val="superscript"/>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1、立杆规格：Ф219*12mm，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1、立杆规格：Ф237*12mm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2、材质：Q235B镀锌钢管，热镀锌钢管，镀锌量满足相关规范要求；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129540</wp:posOffset>
                      </wp:positionH>
                      <wp:positionV relativeFrom="paragraph">
                        <wp:posOffset>1120775</wp:posOffset>
                      </wp:positionV>
                      <wp:extent cx="1222375" cy="2864485"/>
                      <wp:effectExtent l="0" t="0" r="15875" b="12065"/>
                      <wp:wrapNone/>
                      <wp:docPr id="18" name="图片_19_SpCnt_1"/>
                      <wp:cNvGraphicFramePr/>
                      <a:graphic xmlns:a="http://schemas.openxmlformats.org/drawingml/2006/main">
                        <a:graphicData uri="http://schemas.openxmlformats.org/drawingml/2006/picture">
                          <pic:pic xmlns:pic="http://schemas.openxmlformats.org/drawingml/2006/picture">
                            <pic:nvPicPr>
                              <pic:cNvPr id="65" name="图片_19_SpCnt_1"/>
                              <pic:cNvPicPr/>
                              <pic:nvPr/>
                            </pic:nvPicPr>
                            <pic:blipFill>
                              <a:blip r:embed="rId29"/>
                              <a:stretch/>
                            </pic:blipFill>
                            <pic:spPr bwMode="auto">
                              <a:xfrm>
                                <a:off x="0" y="0"/>
                                <a:ext cx="1222375" cy="286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10.2pt;mso-position-horizontal:absolute;mso-position-vertical-relative:text;margin-top:88.2pt;mso-position-vertical:absolute;width:96.2pt;height:225.5pt;mso-wrap-distance-left:9.0pt;mso-wrap-distance-top:0.0pt;mso-wrap-distance-right:9.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1、立杆规格：Ф299*12mm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r>
      <w:tr>
        <w:trPr>
          <w:jc w:val="center"/>
          <w:trHeight w:val="8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维修道路标志牌牌面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1、包含但不限于零件更换、扶正、反光膜的更换等所需要的人工、材料、机械的费用。</w:t>
            </w:r>
            <w:r/>
          </w:p>
        </w:tc>
      </w:tr>
      <w:tr>
        <w:trPr>
          <w:jc w:val="center"/>
          <w:trHeight w:val="7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指路标牌/ 分道标牌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207010</wp:posOffset>
                      </wp:positionH>
                      <wp:positionV relativeFrom="paragraph">
                        <wp:posOffset>2533015</wp:posOffset>
                      </wp:positionV>
                      <wp:extent cx="1156335" cy="1357630"/>
                      <wp:effectExtent l="0" t="0" r="5715" b="13970"/>
                      <wp:wrapNone/>
                      <wp:docPr id="19" name="IM_192"/>
                      <wp:cNvGraphicFramePr/>
                      <a:graphic xmlns:a="http://schemas.openxmlformats.org/drawingml/2006/main">
                        <a:graphicData uri="http://schemas.openxmlformats.org/drawingml/2006/picture">
                          <pic:pic xmlns:pic="http://schemas.openxmlformats.org/drawingml/2006/picture">
                            <pic:nvPicPr>
                              <pic:cNvPr id="70" name="IM_192"/>
                              <pic:cNvPicPr/>
                              <pic:nvPr/>
                            </pic:nvPicPr>
                            <pic:blipFill>
                              <a:blip r:embed="rId30"/>
                              <a:stretch/>
                            </pic:blipFill>
                            <pic:spPr bwMode="auto">
                              <a:xfrm>
                                <a:off x="0" y="0"/>
                                <a:ext cx="1156335" cy="13576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16.3pt;mso-position-horizontal:absolute;mso-position-vertical-relative:text;margin-top:199.4pt;mso-position-vertical:absolute;width:91.0pt;height:106.9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259080</wp:posOffset>
                      </wp:positionV>
                      <wp:extent cx="1396365" cy="1775460"/>
                      <wp:effectExtent l="0" t="0" r="13335" b="15240"/>
                      <wp:wrapNone/>
                      <wp:docPr id="20" name="图片_23"/>
                      <wp:cNvGraphicFramePr/>
                      <a:graphic xmlns:a="http://schemas.openxmlformats.org/drawingml/2006/main">
                        <a:graphicData uri="http://schemas.openxmlformats.org/drawingml/2006/picture">
                          <pic:pic xmlns:pic="http://schemas.openxmlformats.org/drawingml/2006/picture">
                            <pic:nvPicPr>
                              <pic:cNvPr id="63" name="图片_23"/>
                              <pic:cNvPicPr/>
                              <pic:nvPr/>
                            </pic:nvPicPr>
                            <pic:blipFill>
                              <a:blip r:embed="rId31"/>
                              <a:stretch/>
                            </pic:blipFill>
                            <pic:spPr bwMode="auto">
                              <a:xfrm>
                                <a:off x="0" y="0"/>
                                <a:ext cx="1396365" cy="1775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5.9pt;mso-position-horizontal:absolute;mso-position-vertical-relative:text;margin-top:20.4pt;mso-position-vertical:absolute;width:109.9pt;height:139.8pt;mso-wrap-distance-left:9.0pt;mso-wrap-distance-top:0.0pt;mso-wrap-distance-right:9.0pt;mso-wrap-distance-bottom:0.0pt;" stroked="f">
                      <v:path textboxrect="0,0,0,0"/>
                      <v:imagedata r:id="rId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本项目施工前，中标单位需提供设具体建设地点、有资质的设计单位出具并盖章的设计图纸及效果图，经建设单位确认同意后方可施工。单价需包含该项实施的所需的全部费用（包含但不限于实施位置的清障费 、设计费、人工、材料、机械 、措施费、行车干扰施工增加费、管理费、利润、税金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等） ，深化设计后的图纸参数不得小于以下基本参数，基本参数如下：</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1、立杆规格：Ф273*8mm，L=8m 热轧无缝钢管；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2、横粱规格：Ф152*8mm，长度 4.59m、0.672m，电焊钢管；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3、5A02铝合金标志板：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4098*2598*3mm；蓝底、白图案、 白边框、蓝衬边/白衬边；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4、6303铝合金龙骨；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5、热镀锌钢管、钢板、螺栓等镀锌量满足相关规范要求；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6、油漆：喷塑层≥76</w:t>
            </w:r>
            <w:r>
              <w:rPr>
                <w:rFonts w:hint="default"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7、板面覆Ⅲ类反光膜，所需的  文字、标志图由建设方拟定，反 光膜的色度性能及逆反射系数值 应符合《GB/T 18833-2012》的有关规定；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8、报价包含土方开挖与回填、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C20混凝土垫层、C25钢筋混凝土 基础（1.6*1.6*2.4m）、钢筋笼 、预埋件、基础锚板、螺栓（全部采用不锈钢螺栓）、抱箍、加劲肋、滑槽、法兰盘及相关配件 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9、安装及运输应符合GB5768- 2009及施工技术规范的要求；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10、具体详见附件三；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11、质保期限：终身质保。</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三、标 线</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217805</wp:posOffset>
                      </wp:positionH>
                      <wp:positionV relativeFrom="paragraph">
                        <wp:posOffset>131445</wp:posOffset>
                      </wp:positionV>
                      <wp:extent cx="956945" cy="808990"/>
                      <wp:effectExtent l="0" t="0" r="14604" b="10160"/>
                      <wp:wrapNone/>
                      <wp:docPr id="21" name="图片_20"/>
                      <wp:cNvGraphicFramePr/>
                      <a:graphic xmlns:a="http://schemas.openxmlformats.org/drawingml/2006/main">
                        <a:graphicData uri="http://schemas.openxmlformats.org/drawingml/2006/picture">
                          <pic:pic xmlns:pic="http://schemas.openxmlformats.org/drawingml/2006/picture">
                            <pic:nvPicPr>
                              <pic:cNvPr id="68" name="图片_20"/>
                              <pic:cNvPicPr/>
                              <pic:nvPr/>
                            </pic:nvPicPr>
                            <pic:blipFill>
                              <a:blip r:embed="rId32"/>
                              <a:stretch/>
                            </pic:blipFill>
                            <pic:spPr bwMode="auto">
                              <a:xfrm>
                                <a:off x="0" y="0"/>
                                <a:ext cx="95694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17.1pt;mso-position-horizontal:absolute;mso-position-vertical-relative:text;margin-top:10.3pt;mso-position-vertical:absolute;width:75.3pt;height:63.7pt;mso-wrap-distance-left:9.0pt;mso-wrap-distance-top:0.0pt;mso-wrap-distance-right:9.0pt;mso-wrap-distance-bottom:0.0pt;" stroked="f">
                      <v:path textboxrect="0,0,0,0"/>
                      <v:imagedata r:id="rId3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机动车停车位线宽0.15m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88900</wp:posOffset>
                      </wp:positionH>
                      <wp:positionV relativeFrom="paragraph">
                        <wp:posOffset>268605</wp:posOffset>
                      </wp:positionV>
                      <wp:extent cx="1251585" cy="772160"/>
                      <wp:effectExtent l="0" t="0" r="5715" b="8890"/>
                      <wp:wrapNone/>
                      <wp:docPr id="22" name="图片_21"/>
                      <wp:cNvGraphicFramePr/>
                      <a:graphic xmlns:a="http://schemas.openxmlformats.org/drawingml/2006/main">
                        <a:graphicData uri="http://schemas.openxmlformats.org/drawingml/2006/picture">
                          <pic:pic xmlns:pic="http://schemas.openxmlformats.org/drawingml/2006/picture">
                            <pic:nvPicPr>
                              <pic:cNvPr id="72" name="图片_21"/>
                              <pic:cNvPicPr/>
                              <pic:nvPr/>
                            </pic:nvPicPr>
                            <pic:blipFill>
                              <a:blip r:embed="rId33"/>
                              <a:stretch/>
                            </pic:blipFill>
                            <pic:spPr bwMode="auto">
                              <a:xfrm>
                                <a:off x="0" y="0"/>
                                <a:ext cx="125158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7.0pt;mso-position-horizontal:absolute;mso-position-vertical-relative:text;margin-top:21.1pt;mso-position-vertical:absolute;width:98.5pt;height:60.8pt;mso-wrap-distance-left:9.0pt;mso-wrap-distance-top:0.0pt;mso-wrap-distance-right:9.0pt;mso-wrap-distance-bottom:0.0pt;" stroked="f">
                      <v:path textboxrect="0,0,0,0"/>
                      <v:imagedata r:id="rId3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非机动车停车位线宽0.1m</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137160</wp:posOffset>
                      </wp:positionH>
                      <wp:positionV relativeFrom="paragraph">
                        <wp:posOffset>280670</wp:posOffset>
                      </wp:positionV>
                      <wp:extent cx="1168400" cy="704215"/>
                      <wp:effectExtent l="0" t="0" r="12700" b="635"/>
                      <wp:wrapNone/>
                      <wp:docPr id="23" name="图片_22"/>
                      <wp:cNvGraphicFramePr/>
                      <a:graphic xmlns:a="http://schemas.openxmlformats.org/drawingml/2006/main">
                        <a:graphicData uri="http://schemas.openxmlformats.org/drawingml/2006/picture">
                          <pic:pic xmlns:pic="http://schemas.openxmlformats.org/drawingml/2006/picture">
                            <pic:nvPicPr>
                              <pic:cNvPr id="64" name="图片_22"/>
                              <pic:cNvPicPr/>
                              <pic:nvPr/>
                            </pic:nvPicPr>
                            <pic:blipFill>
                              <a:blip r:embed="rId34"/>
                              <a:stretch/>
                            </pic:blipFill>
                            <pic:spPr bwMode="auto">
                              <a:xfrm>
                                <a:off x="0" y="0"/>
                                <a:ext cx="1168400"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10.8pt;mso-position-horizontal:absolute;mso-position-vertical-relative:text;margin-top:22.1pt;mso-position-vertical:absolute;width:92.0pt;height:55.4pt;mso-wrap-distance-left:9.0pt;mso-wrap-distance-top:0.0pt;mso-wrap-distance-right:9.0pt;mso-wrap-distance-bottom:0.0pt;" stroked="f">
                      <v:path textboxrect="0,0,0,0"/>
                      <v:imagedata r:id="rId3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2017.15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横向减速线(震荡标线)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315595</wp:posOffset>
                      </wp:positionH>
                      <wp:positionV relativeFrom="paragraph">
                        <wp:posOffset>100330</wp:posOffset>
                      </wp:positionV>
                      <wp:extent cx="913765" cy="587375"/>
                      <wp:effectExtent l="0" t="0" r="635" b="3175"/>
                      <wp:wrapNone/>
                      <wp:docPr id="24" name="图片_23_SpCnt_1"/>
                      <wp:cNvGraphicFramePr/>
                      <a:graphic xmlns:a="http://schemas.openxmlformats.org/drawingml/2006/main">
                        <a:graphicData uri="http://schemas.openxmlformats.org/drawingml/2006/picture">
                          <pic:pic xmlns:pic="http://schemas.openxmlformats.org/drawingml/2006/picture">
                            <pic:nvPicPr>
                              <pic:cNvPr id="67" name="图片_23_SpCnt_1"/>
                              <pic:cNvPicPr/>
                              <pic:nvPr/>
                            </pic:nvPicPr>
                            <pic:blipFill>
                              <a:blip r:embed="rId35"/>
                              <a:stretch/>
                            </pic:blipFill>
                            <pic:spPr bwMode="auto">
                              <a:xfrm>
                                <a:off x="0" y="0"/>
                                <a:ext cx="913765"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24.8pt;mso-position-horizontal:absolute;mso-position-vertical-relative:text;margin-top:7.9pt;mso-position-vertical:absolute;width:72.0pt;height:46.2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1、标线清除方式由投标人自行考虑，不限于机械清除、高压水枪清除、火除法等；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2、清扫现场、垃圾外运。</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文字模型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wp:posOffset>
                      </wp:positionH>
                      <wp:positionV relativeFrom="paragraph">
                        <wp:posOffset>59690</wp:posOffset>
                      </wp:positionV>
                      <wp:extent cx="875030" cy="646430"/>
                      <wp:effectExtent l="0" t="0" r="1270" b="1270"/>
                      <wp:wrapNone/>
                      <wp:docPr id="25" name="图片_24"/>
                      <wp:cNvGraphicFramePr/>
                      <a:graphic xmlns:a="http://schemas.openxmlformats.org/drawingml/2006/main">
                        <a:graphicData uri="http://schemas.openxmlformats.org/drawingml/2006/picture">
                          <pic:pic xmlns:pic="http://schemas.openxmlformats.org/drawingml/2006/picture">
                            <pic:nvPicPr>
                              <pic:cNvPr id="69" name="图片_24"/>
                              <pic:cNvPicPr/>
                              <pic:nvPr/>
                            </pic:nvPicPr>
                            <pic:blipFill>
                              <a:blip r:embed="rId36"/>
                              <a:stretch/>
                            </pic:blipFill>
                            <pic:spPr bwMode="auto">
                              <a:xfrm>
                                <a:off x="0" y="0"/>
                                <a:ext cx="87503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22.1pt;mso-position-horizontal:absolute;mso-position-vertical-relative:text;margin-top:4.7pt;mso-position-vertical:absolute;width:68.9pt;height:50.9pt;mso-wrap-distance-left:9.0pt;mso-wrap-distance-top:0.0pt;mso-wrap-distance-right:9.0pt;mso-wrap-distance-bottom:0.0pt;" stroked="f">
                      <v:path textboxrect="0,0,0,0"/>
                      <v:imagedata r:id="rId3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1、计量规则：以长、宽最大外接矩形面积计算；</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2、热熔反光型标线。</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四、宣传标牌等广告用品采购项目</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黑白打印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3、黑白打印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彩色纸打印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3、彩色纸张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2、克重：157G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3、双光铜版纸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白卡纸胶装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2、克重：240G 加大封面金丝白卡纸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3、胶装</w:t>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w:t>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3、皮纹纸横向胶装</w:t>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3、打钉或穿孔线装、横向胶装</w:t>
            </w:r>
            <w:r/>
          </w:p>
        </w:tc>
      </w:tr>
      <w:tr>
        <w:trPr>
          <w:jc w:val="center"/>
          <w:trHeight w:val="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项目文本铜版纸加急圈装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1、A3胶片圈装</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项目文本铜版纸精装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3、打钉或穿线、胶装</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1、规格：特大号</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项目效果图手持展板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2、高清户外写真+KT板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3、黑色软包边</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1、规格：A0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管网展板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1、高清户外写真+KT板，规格100*140cm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2、含灰色包边费用</w:t>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交通护栏宣传广告制作安装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加厚户外黑白喷绘布</w:t>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交通悬空指示牌背面宣传广告制作安装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2、所有更换的公益广告及框架需在地面成套制作完成后再安装。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3、含吊车使用费；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4、本项因白天交通安全问题，必须夜间突击安装，相关增加的费用由报价人综合考虑在报价单价内。</w:t>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框架焊接</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1、国标热镀锌方管焊接，规格不得小于25*25*1.5mm，间距不大于1m，符合高空安全使用要求。</w:t>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贴纸制作安装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1、户外高清车贴裱膜制作安装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2、内容根据采购人要求印制；</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KT板制作安装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1、写真裱板制作安装，内容根据采购人要求印制；</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宣传条幅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1、横幅布穿竹安装（8米）</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胸牌工作证</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1、胶皮外壳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2、内页：180G白卡纸双面彩印内页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3、规格：8*12cm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4、配套挂绳</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制度牌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设计制作安装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1、材质：开启式铝合金框、PVC透明片（60*90cm）；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2、高精写真内页（内容根据采购人要求印制）。</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不锈钢大戗牌租用</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1、尺寸：3.5*2.3米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2、材质：不锈钢</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3、包含运输，安装费用</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亚克力桌牌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1、材质：水晶亚克力磁吸桌牌含内页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2、规格：25*13cm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3、内页内容根据采购人要求印制</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纸质三角桌牌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1、250G铜版纸印制压痕</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2、加双面胶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3、印制内容据采购人要求印制</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彩旗</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1、工地彩旗：60*110cm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2、立杆：竹竿，高度250cm </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科室牌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1、材质：铝制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2、规格：28*12cm</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喷绘</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2、厚度，克重符合招标人要求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3、规格及固定区域设置双层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4、质保期：2年</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5、拆除费用由投标人自行考虑，结算时不再增加</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五、其 他</w:t>
            </w:r>
            <w:r/>
          </w:p>
        </w:tc>
      </w:tr>
      <w:tr>
        <w:trPr>
          <w:jc w:val="center"/>
          <w:trHeight w:val="45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1、本项目施工前，中标单位需提供设具体建设地点、有资质的设计单位出具并盖章的设计图纸及效果图，经建设单位及公安交警部门确认同意后方可施工；</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2、根据现场实际情况进行锯缝、破除混凝土、挖土、拆除相关障碍物、废碴外运等，由投标人综合考虑此部分费用；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2、成套信号灯含所有硬件、软件、网络、电子警察、电源等一切建设费用；该信号灯接至公安交警指挥平台，并满足公安交警部门使用要求；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3、本交通信号按一个路口为1项，信号灯应满足各个方向的使用要求；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4、此项5年之内的维保费用由投标人报价时结合自身实力综合考虑；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5、具体实施位置根据建设方交办单实施。</w:t>
            </w:r>
            <w:r/>
          </w:p>
        </w:tc>
      </w:tr>
    </w:tbl>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p>
      <w:pPr>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r>
      <w:r/>
    </w:p>
    <w:tbl>
      <w:tblPr>
        <w:tblStyle w:val="690"/>
        <w:tblW w:w="98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8"/>
        <w:gridCol w:w="1195"/>
        <w:gridCol w:w="2892"/>
        <w:gridCol w:w="896"/>
        <w:gridCol w:w="556"/>
        <w:gridCol w:w="3523"/>
      </w:tblGrid>
      <w:tr>
        <w:trPr>
          <w:jc w:val="center"/>
          <w:trHeight w:val="1340"/>
        </w:trPr>
        <w:tc>
          <w:tcPr>
            <w:gridSpan w:val="6"/>
            <w:shd w:val="clear" w:color="auto" w:fill="auto"/>
            <w:tcBorders>
              <w:top w:val="none" w:color="000000" w:sz="4" w:space="0"/>
              <w:left w:val="none" w:color="000000" w:sz="4" w:space="0"/>
              <w:bottom w:val="none" w:color="000000" w:sz="4" w:space="0"/>
              <w:right w:val="single" w:color="000000" w:sz="4" w:space="0"/>
            </w:tcBorders>
            <w:tcW w:w="9870" w:type="dxa"/>
            <w:vAlign w:val="center"/>
            <w:textDirection w:val="lrTb"/>
            <w:noWrap w:val="false"/>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2025-2026、2026-2027年大丰城区主次干道、桥梁、排水等市政设施及标志标线、栏杆等道路交通设施养护项目采购包八（东宁路（含）以东：广告、标牌、标线、交通信号灯）</w:t>
            </w:r>
            <w:r/>
          </w:p>
        </w:tc>
      </w:tr>
      <w:tr>
        <w:trPr>
          <w:jc w:val="center"/>
          <w:trHeight w:val="480"/>
        </w:trPr>
        <w:tc>
          <w:tcPr>
            <w:shd w:val="clear" w:color="auto" w:fill="ffffff"/>
            <w:tcBorders>
              <w:top w:val="single" w:color="000000" w:sz="8"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图片（部分样式，具体以道路实际为准）</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366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规格/型号</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9870" w:type="dxa"/>
            <w:vAlign w:val="center"/>
            <w:textDirection w:val="lrTb"/>
            <w:noWrap w:val="false"/>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一、单柱式交通标志牌</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三角形标志牌牌面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wp:posOffset>
                      </wp:positionH>
                      <wp:positionV relativeFrom="paragraph">
                        <wp:posOffset>534035</wp:posOffset>
                      </wp:positionV>
                      <wp:extent cx="662940" cy="530860"/>
                      <wp:effectExtent l="0" t="0" r="3810" b="2540"/>
                      <wp:wrapNone/>
                      <wp:docPr id="26" name="图片_1"/>
                      <wp:cNvGraphicFramePr/>
                      <a:graphic xmlns:a="http://schemas.openxmlformats.org/drawingml/2006/main">
                        <a:graphicData uri="http://schemas.openxmlformats.org/drawingml/2006/picture">
                          <pic:pic xmlns:pic="http://schemas.openxmlformats.org/drawingml/2006/picture">
                            <pic:nvPicPr>
                              <pic:cNvPr id="74" name="图片_1"/>
                              <pic:cNvPicPr/>
                              <pic:nvPr/>
                            </pic:nvPicPr>
                            <pic:blipFill>
                              <a:blip r:embed="rId14"/>
                              <a:stretch/>
                            </pic:blipFill>
                            <pic:spPr bwMode="auto">
                              <a:xfrm>
                                <a:off x="0" y="0"/>
                                <a:ext cx="662940"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2.8pt;mso-position-horizontal:absolute;mso-position-vertical-relative:text;margin-top:42.0pt;mso-position-vertical:absolute;width:52.2pt;height:41.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1574800</wp:posOffset>
                      </wp:positionV>
                      <wp:extent cx="588010" cy="492760"/>
                      <wp:effectExtent l="0" t="0" r="2540" b="2540"/>
                      <wp:wrapNone/>
                      <wp:docPr id="27" name="图片_2"/>
                      <wp:cNvGraphicFramePr/>
                      <a:graphic xmlns:a="http://schemas.openxmlformats.org/drawingml/2006/main">
                        <a:graphicData uri="http://schemas.openxmlformats.org/drawingml/2006/picture">
                          <pic:pic xmlns:pic="http://schemas.openxmlformats.org/drawingml/2006/picture">
                            <pic:nvPicPr>
                              <pic:cNvPr id="75" name="图片_2"/>
                              <pic:cNvPicPr/>
                              <pic:nvPr/>
                            </pic:nvPicPr>
                            <pic:blipFill>
                              <a:blip r:embed="rId15"/>
                              <a:stretch/>
                            </pic:blipFill>
                            <pic:spPr bwMode="auto">
                              <a:xfrm>
                                <a:off x="0" y="0"/>
                                <a:ext cx="58801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6.5pt;mso-position-horizontal:absolute;mso-position-vertical-relative:text;margin-top:124.0pt;mso-position-vertical:absolute;width:46.3pt;height:38.8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614045</wp:posOffset>
                      </wp:positionH>
                      <wp:positionV relativeFrom="paragraph">
                        <wp:posOffset>527050</wp:posOffset>
                      </wp:positionV>
                      <wp:extent cx="687070" cy="510540"/>
                      <wp:effectExtent l="0" t="0" r="17780" b="3810"/>
                      <wp:wrapNone/>
                      <wp:docPr id="28" name="图片_3"/>
                      <wp:cNvGraphicFramePr/>
                      <a:graphic xmlns:a="http://schemas.openxmlformats.org/drawingml/2006/main">
                        <a:graphicData uri="http://schemas.openxmlformats.org/drawingml/2006/picture">
                          <pic:pic xmlns:pic="http://schemas.openxmlformats.org/drawingml/2006/picture">
                            <pic:nvPicPr>
                              <pic:cNvPr id="77" name="图片_3"/>
                              <pic:cNvPicPr/>
                              <pic:nvPr/>
                            </pic:nvPicPr>
                            <pic:blipFill>
                              <a:blip r:embed="rId16"/>
                              <a:stretch/>
                            </pic:blipFill>
                            <pic:spPr bwMode="auto">
                              <a:xfrm>
                                <a:off x="0" y="0"/>
                                <a:ext cx="687069"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48.3pt;mso-position-horizontal:absolute;mso-position-vertical-relative:text;margin-top:41.5pt;mso-position-vertical:absolute;width:54.1pt;height:40.2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671830</wp:posOffset>
                      </wp:positionH>
                      <wp:positionV relativeFrom="paragraph">
                        <wp:posOffset>1582420</wp:posOffset>
                      </wp:positionV>
                      <wp:extent cx="658495" cy="569595"/>
                      <wp:effectExtent l="0" t="0" r="8255" b="1905"/>
                      <wp:wrapNone/>
                      <wp:docPr id="29" name="图片_4"/>
                      <wp:cNvGraphicFramePr/>
                      <a:graphic xmlns:a="http://schemas.openxmlformats.org/drawingml/2006/main">
                        <a:graphicData uri="http://schemas.openxmlformats.org/drawingml/2006/picture">
                          <pic:pic xmlns:pic="http://schemas.openxmlformats.org/drawingml/2006/picture">
                            <pic:nvPicPr>
                              <pic:cNvPr id="76" name="图片_4"/>
                              <pic:cNvPicPr/>
                              <pic:nvPr/>
                            </pic:nvPicPr>
                            <pic:blipFill>
                              <a:blip r:embed="rId37"/>
                              <a:stretch/>
                            </pic:blipFill>
                            <pic:spPr bwMode="auto">
                              <a:xfrm>
                                <a:off x="0" y="0"/>
                                <a:ext cx="65849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52.9pt;mso-position-horizontal:absolute;mso-position-vertical-relative:text;margin-top:124.6pt;mso-position-vertical:absolute;width:51.8pt;height:44.8pt;mso-wrap-distance-left:9.0pt;mso-wrap-distance-top:0.0pt;mso-wrap-distance-right:9.0pt;mso-wrap-distance-bottom:0.0pt;" stroked="f">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1、△L=700mm；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1、△L=900mm；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1、△L=1100mm；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1、△L=1300mm；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圆形（包含八角形）标志牌牌面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22860</wp:posOffset>
                      </wp:positionH>
                      <wp:positionV relativeFrom="paragraph">
                        <wp:posOffset>1828800</wp:posOffset>
                      </wp:positionV>
                      <wp:extent cx="727075" cy="565785"/>
                      <wp:effectExtent l="0" t="0" r="15875" b="5715"/>
                      <wp:wrapNone/>
                      <wp:docPr id="30" name="图片_9"/>
                      <wp:cNvGraphicFramePr/>
                      <a:graphic xmlns:a="http://schemas.openxmlformats.org/drawingml/2006/main">
                        <a:graphicData uri="http://schemas.openxmlformats.org/drawingml/2006/picture">
                          <pic:pic xmlns:pic="http://schemas.openxmlformats.org/drawingml/2006/picture">
                            <pic:nvPicPr>
                              <pic:cNvPr id="78" name="图片_9"/>
                              <pic:cNvPicPr/>
                              <pic:nvPr/>
                            </pic:nvPicPr>
                            <pic:blipFill>
                              <a:blip r:embed="rId38"/>
                              <a:stretch/>
                            </pic:blipFill>
                            <pic:spPr bwMode="auto">
                              <a:xfrm>
                                <a:off x="0" y="0"/>
                                <a:ext cx="727075"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1.8pt;mso-position-horizontal:absolute;mso-position-vertical-relative:text;margin-top:144.0pt;mso-position-vertical:absolute;width:57.2pt;height:44.5pt;mso-wrap-distance-left:9.0pt;mso-wrap-distance-top:0.0pt;mso-wrap-distance-right:9.0pt;mso-wrap-distance-bottom:0.0pt;" stroked="f">
                      <v:path textboxrect="0,0,0,0"/>
                      <v:imagedata r:id="rId38"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770890</wp:posOffset>
                      </wp:positionV>
                      <wp:extent cx="681355" cy="561340"/>
                      <wp:effectExtent l="0" t="0" r="4445" b="10160"/>
                      <wp:wrapNone/>
                      <wp:docPr id="31" name="图片_7"/>
                      <wp:cNvGraphicFramePr/>
                      <a:graphic xmlns:a="http://schemas.openxmlformats.org/drawingml/2006/main">
                        <a:graphicData uri="http://schemas.openxmlformats.org/drawingml/2006/picture">
                          <pic:pic xmlns:pic="http://schemas.openxmlformats.org/drawingml/2006/picture">
                            <pic:nvPicPr>
                              <pic:cNvPr id="82" name="图片_7"/>
                              <pic:cNvPicPr/>
                              <pic:nvPr/>
                            </pic:nvPicPr>
                            <pic:blipFill>
                              <a:blip r:embed="rId39"/>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2.4pt;mso-position-horizontal:absolute;mso-position-vertical-relative:text;margin-top:60.7pt;mso-position-vertical:absolute;width:53.6pt;height:44.2pt;mso-wrap-distance-left:9.0pt;mso-wrap-distance-top:0.0pt;mso-wrap-distance-right:9.0pt;mso-wrap-distance-bottom:0.0pt;" stroked="f">
                      <v:path textboxrect="0,0,0,0"/>
                      <v:imagedata r:id="rId39"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723265</wp:posOffset>
                      </wp:positionH>
                      <wp:positionV relativeFrom="paragraph">
                        <wp:posOffset>1828800</wp:posOffset>
                      </wp:positionV>
                      <wp:extent cx="602615" cy="557530"/>
                      <wp:effectExtent l="0" t="0" r="6985" b="13970"/>
                      <wp:wrapNone/>
                      <wp:docPr id="32" name="图片_10"/>
                      <wp:cNvGraphicFramePr/>
                      <a:graphic xmlns:a="http://schemas.openxmlformats.org/drawingml/2006/main">
                        <a:graphicData uri="http://schemas.openxmlformats.org/drawingml/2006/picture">
                          <pic:pic xmlns:pic="http://schemas.openxmlformats.org/drawingml/2006/picture">
                            <pic:nvPicPr>
                              <pic:cNvPr id="79" name="图片_10"/>
                              <pic:cNvPicPr/>
                              <pic:nvPr/>
                            </pic:nvPicPr>
                            <pic:blipFill>
                              <a:blip r:embed="rId40"/>
                              <a:stretch/>
                            </pic:blipFill>
                            <pic:spPr bwMode="auto">
                              <a:xfrm>
                                <a:off x="0" y="0"/>
                                <a:ext cx="602615" cy="557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56.9pt;mso-position-horizontal:absolute;mso-position-vertical-relative:text;margin-top:144.0pt;mso-position-vertical:absolute;width:47.4pt;height:43.9pt;mso-wrap-distance-left:9.0pt;mso-wrap-distance-top:0.0pt;mso-wrap-distance-right:9.0pt;mso-wrap-distance-bottom:0.0pt;" stroked="f">
                      <v:path textboxrect="0,0,0,0"/>
                      <v:imagedata r:id="rId40"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734695</wp:posOffset>
                      </wp:positionH>
                      <wp:positionV relativeFrom="paragraph">
                        <wp:posOffset>770890</wp:posOffset>
                      </wp:positionV>
                      <wp:extent cx="638810" cy="587375"/>
                      <wp:effectExtent l="0" t="0" r="8890" b="3175"/>
                      <wp:wrapNone/>
                      <wp:docPr id="33" name="图片_8"/>
                      <wp:cNvGraphicFramePr/>
                      <a:graphic xmlns:a="http://schemas.openxmlformats.org/drawingml/2006/main">
                        <a:graphicData uri="http://schemas.openxmlformats.org/drawingml/2006/picture">
                          <pic:pic xmlns:pic="http://schemas.openxmlformats.org/drawingml/2006/picture">
                            <pic:nvPicPr>
                              <pic:cNvPr id="80" name="图片_8"/>
                              <pic:cNvPicPr/>
                              <pic:nvPr/>
                            </pic:nvPicPr>
                            <pic:blipFill>
                              <a:blip r:embed="rId41"/>
                              <a:stretch/>
                            </pic:blipFill>
                            <pic:spPr bwMode="auto">
                              <a:xfrm>
                                <a:off x="0" y="0"/>
                                <a:ext cx="63881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57.8pt;mso-position-horizontal:absolute;mso-position-vertical-relative:text;margin-top:60.7pt;mso-position-vertical:absolute;width:50.3pt;height:46.2pt;mso-wrap-distance-left:9.0pt;mso-wrap-distance-top:0.0pt;mso-wrap-distance-right:9.0pt;mso-wrap-distance-bottom:0.0pt;" stroked="f">
                      <v:path textboxrect="0,0,0,0"/>
                      <v:imagedata r:id="rId4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1、直径：Ф600mm；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1、直径：Ф800mm；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1、直径：Ф1000mm；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1、直径：Ф1200mm；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2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正方形及不规则标志牌牌面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119380</wp:posOffset>
                      </wp:positionV>
                      <wp:extent cx="723265" cy="1332865"/>
                      <wp:effectExtent l="0" t="0" r="635" b="635"/>
                      <wp:wrapNone/>
                      <wp:docPr id="34" name="图片_11"/>
                      <wp:cNvGraphicFramePr/>
                      <a:graphic xmlns:a="http://schemas.openxmlformats.org/drawingml/2006/main">
                        <a:graphicData uri="http://schemas.openxmlformats.org/drawingml/2006/picture">
                          <pic:pic xmlns:pic="http://schemas.openxmlformats.org/drawingml/2006/picture">
                            <pic:nvPicPr>
                              <pic:cNvPr id="83" name="图片_11"/>
                              <pic:cNvPicPr/>
                              <pic:nvPr/>
                            </pic:nvPicPr>
                            <pic:blipFill>
                              <a:blip r:embed="rId22"/>
                              <a:stretch/>
                            </pic:blipFill>
                            <pic:spPr bwMode="auto">
                              <a:xfrm>
                                <a:off x="0" y="0"/>
                                <a:ext cx="72326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5.5pt;mso-position-horizontal:absolute;mso-position-vertical-relative:text;margin-top:9.4pt;mso-position-vertical:absolute;width:56.9pt;height:104.9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855980</wp:posOffset>
                      </wp:positionH>
                      <wp:positionV relativeFrom="paragraph">
                        <wp:posOffset>804545</wp:posOffset>
                      </wp:positionV>
                      <wp:extent cx="527050" cy="565150"/>
                      <wp:effectExtent l="0" t="0" r="6350" b="6350"/>
                      <wp:wrapNone/>
                      <wp:docPr id="35" name="图片_12"/>
                      <wp:cNvGraphicFramePr/>
                      <a:graphic xmlns:a="http://schemas.openxmlformats.org/drawingml/2006/main">
                        <a:graphicData uri="http://schemas.openxmlformats.org/drawingml/2006/picture">
                          <pic:pic xmlns:pic="http://schemas.openxmlformats.org/drawingml/2006/picture">
                            <pic:nvPicPr>
                              <pic:cNvPr id="81" name="图片_12"/>
                              <pic:cNvPicPr/>
                              <pic:nvPr/>
                            </pic:nvPicPr>
                            <pic:blipFill>
                              <a:blip r:embed="rId23"/>
                              <a:stretch/>
                            </pic:blipFill>
                            <pic:spPr bwMode="auto">
                              <a:xfrm>
                                <a:off x="0" y="0"/>
                                <a:ext cx="52705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67.4pt;mso-position-horizontal:absolute;mso-position-vertical-relative:text;margin-top:63.3pt;mso-position-vertical:absolute;width:41.5pt;height:44.5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857250</wp:posOffset>
                      </wp:positionH>
                      <wp:positionV relativeFrom="paragraph">
                        <wp:posOffset>83185</wp:posOffset>
                      </wp:positionV>
                      <wp:extent cx="569595" cy="618490"/>
                      <wp:effectExtent l="0" t="0" r="1905" b="10160"/>
                      <wp:wrapNone/>
                      <wp:docPr id="36" name="图片_15"/>
                      <wp:cNvGraphicFramePr/>
                      <a:graphic xmlns:a="http://schemas.openxmlformats.org/drawingml/2006/main">
                        <a:graphicData uri="http://schemas.openxmlformats.org/drawingml/2006/picture">
                          <pic:pic xmlns:pic="http://schemas.openxmlformats.org/drawingml/2006/picture">
                            <pic:nvPicPr>
                              <pic:cNvPr id="73" name="图片_15"/>
                              <pic:cNvPicPr/>
                              <pic:nvPr/>
                            </pic:nvPicPr>
                            <pic:blipFill>
                              <a:blip r:embed="rId24"/>
                              <a:stretch/>
                            </pic:blipFill>
                            <pic:spPr bwMode="auto">
                              <a:xfrm>
                                <a:off x="0" y="0"/>
                                <a:ext cx="569595"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67.5pt;mso-position-horizontal:absolute;mso-position-vertical-relative:text;margin-top:6.5pt;mso-position-vertical:absolute;width:44.8pt;height:48.7pt;mso-wrap-distance-left:9.0pt;mso-wrap-distance-top:0.0pt;mso-wrap-distance-right:9.0pt;mso-wrap-distance-bottom:0.0pt;" stroked="f">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单柱式立杆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150495</wp:posOffset>
                      </wp:positionH>
                      <wp:positionV relativeFrom="paragraph">
                        <wp:posOffset>1612265</wp:posOffset>
                      </wp:positionV>
                      <wp:extent cx="1162685" cy="1484630"/>
                      <wp:effectExtent l="0" t="0" r="18415" b="1270"/>
                      <wp:wrapNone/>
                      <wp:docPr id="37" name="图片_16"/>
                      <wp:cNvGraphicFramePr/>
                      <a:graphic xmlns:a="http://schemas.openxmlformats.org/drawingml/2006/main">
                        <a:graphicData uri="http://schemas.openxmlformats.org/drawingml/2006/picture">
                          <pic:pic xmlns:pic="http://schemas.openxmlformats.org/drawingml/2006/picture">
                            <pic:nvPicPr>
                              <pic:cNvPr id="84" name="图片_16"/>
                              <pic:cNvPicPr/>
                              <pic:nvPr/>
                            </pic:nvPicPr>
                            <pic:blipFill>
                              <a:blip r:embed="rId25"/>
                              <a:stretch/>
                            </pic:blipFill>
                            <pic:spPr bwMode="auto">
                              <a:xfrm>
                                <a:off x="0" y="0"/>
                                <a:ext cx="1162685" cy="148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11.8pt;mso-position-horizontal:absolute;mso-position-vertical-relative:text;margin-top:126.9pt;mso-position-vertical:absolute;width:91.5pt;height:116.9pt;mso-wrap-distance-left:9.0pt;mso-wrap-distance-top:0.0pt;mso-wrap-distance-right:9.0pt;mso-wrap-distance-bottom:0.0pt;" stroked="f">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1、规格：Ф89*4.5mm；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1、规格：Ф76*4.5mm；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1、规格：Ф114*4.5mm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1、规格：Ф102*4.5mm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1、规格：Ф108*4.5mm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1、规格：Ф140*4.5mm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r>
      <w:tr>
        <w:trPr>
          <w:jc w:val="center"/>
          <w:trHeight w:val="17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拆除单柱式交通标志牌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1、整套拆除损坏需更换的单柱式交通标志牌；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2、拆除混凝土基础，垃圾外运，垃圾处理需满足环保部门的相关要求。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3、牌面、立杆等金属类物件经建设方确认工程量后运至建设方指定地点。</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二、单悬臂式交通标志牌（F型立杆）</w:t>
            </w:r>
            <w:r/>
          </w:p>
        </w:tc>
      </w:tr>
      <w:tr>
        <w:trPr>
          <w:jc w:val="center"/>
          <w:trHeight w:val="33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单悬臂式交通标志牌牌面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102235</wp:posOffset>
                      </wp:positionH>
                      <wp:positionV relativeFrom="paragraph">
                        <wp:posOffset>1116330</wp:posOffset>
                      </wp:positionV>
                      <wp:extent cx="1296670" cy="929640"/>
                      <wp:effectExtent l="0" t="0" r="17780" b="3810"/>
                      <wp:wrapNone/>
                      <wp:docPr id="38" name="图片_18"/>
                      <wp:cNvGraphicFramePr/>
                      <a:graphic xmlns:a="http://schemas.openxmlformats.org/drawingml/2006/main">
                        <a:graphicData uri="http://schemas.openxmlformats.org/drawingml/2006/picture">
                          <pic:pic xmlns:pic="http://schemas.openxmlformats.org/drawingml/2006/picture">
                            <pic:nvPicPr>
                              <pic:cNvPr id="85" name="图片_18"/>
                              <pic:cNvPicPr/>
                              <pic:nvPr/>
                            </pic:nvPicPr>
                            <pic:blipFill>
                              <a:blip r:embed="rId26"/>
                              <a:stretch/>
                            </pic:blipFill>
                            <pic:spPr bwMode="auto">
                              <a:xfrm>
                                <a:off x="0" y="0"/>
                                <a:ext cx="1296670"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8.0pt;mso-position-horizontal:absolute;mso-position-vertical-relative:text;margin-top:87.9pt;mso-position-vertical:absolute;width:102.1pt;height:73.2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119380</wp:posOffset>
                      </wp:positionH>
                      <wp:positionV relativeFrom="paragraph">
                        <wp:posOffset>76835</wp:posOffset>
                      </wp:positionV>
                      <wp:extent cx="1110615" cy="1019175"/>
                      <wp:effectExtent l="0" t="0" r="13335" b="9525"/>
                      <wp:wrapNone/>
                      <wp:docPr id="39" name="图片_17"/>
                      <wp:cNvGraphicFramePr/>
                      <a:graphic xmlns:a="http://schemas.openxmlformats.org/drawingml/2006/main">
                        <a:graphicData uri="http://schemas.openxmlformats.org/drawingml/2006/picture">
                          <pic:pic xmlns:pic="http://schemas.openxmlformats.org/drawingml/2006/picture">
                            <pic:nvPicPr>
                              <pic:cNvPr id="89" name="图片_17"/>
                              <pic:cNvPicPr/>
                              <pic:nvPr/>
                            </pic:nvPicPr>
                            <pic:blipFill>
                              <a:blip r:embed="rId27"/>
                              <a:stretch/>
                            </pic:blipFill>
                            <pic:spPr bwMode="auto">
                              <a:xfrm>
                                <a:off x="0" y="0"/>
                                <a:ext cx="111061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9.4pt;mso-position-horizontal:absolute;mso-position-vertical-relative:text;margin-top:6.0pt;mso-position-vertical:absolute;width:87.5pt;height:80.2pt;mso-wrap-distance-left:9.0pt;mso-wrap-distance-top:0.0pt;mso-wrap-distance-right:9.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3、板面覆Ⅲ类反光膜及所需的文字、标志图，反光膜需符合《GB/T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171450</wp:posOffset>
                      </wp:positionH>
                      <wp:positionV relativeFrom="paragraph">
                        <wp:posOffset>746760</wp:posOffset>
                      </wp:positionV>
                      <wp:extent cx="1184910" cy="2806700"/>
                      <wp:effectExtent l="0" t="0" r="15240" b="12700"/>
                      <wp:wrapNone/>
                      <wp:docPr id="40" name="图片_19"/>
                      <wp:cNvGraphicFramePr/>
                      <a:graphic xmlns:a="http://schemas.openxmlformats.org/drawingml/2006/main">
                        <a:graphicData uri="http://schemas.openxmlformats.org/drawingml/2006/picture">
                          <pic:pic xmlns:pic="http://schemas.openxmlformats.org/drawingml/2006/picture">
                            <pic:nvPicPr>
                              <pic:cNvPr id="95" name="图片_19"/>
                              <pic:cNvPicPr/>
                              <pic:nvPr/>
                            </pic:nvPicPr>
                            <pic:blipFill>
                              <a:blip r:embed="rId42"/>
                              <a:stretch/>
                            </pic:blipFill>
                            <pic:spPr bwMode="auto">
                              <a:xfrm>
                                <a:off x="0" y="0"/>
                                <a:ext cx="1184910" cy="280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13.5pt;mso-position-horizontal:absolute;mso-position-vertical-relative:text;margin-top:58.8pt;mso-position-vertical:absolute;width:93.3pt;height:221.0pt;mso-wrap-distance-left:9.0pt;mso-wrap-distance-top:0.0pt;mso-wrap-distance-right:9.0pt;mso-wrap-distance-bottom:0.0pt;" stroked="f">
                      <v:path textboxrect="0,0,0,0"/>
                      <v:imagedata r:id="rId4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1、立杆规格：Ф203*8mm，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1、横臂规格：Ф102*6mm；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vertAlign w:val="superscript"/>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1、立杆规格：Ф219*12mm，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1、立杆规格：Ф237*12mm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2、材质：Q235B镀锌钢管，热镀锌钢管，镀锌量满足相关规范要求；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129540</wp:posOffset>
                      </wp:positionH>
                      <wp:positionV relativeFrom="paragraph">
                        <wp:posOffset>1120775</wp:posOffset>
                      </wp:positionV>
                      <wp:extent cx="1222375" cy="2864485"/>
                      <wp:effectExtent l="0" t="0" r="15875" b="12065"/>
                      <wp:wrapNone/>
                      <wp:docPr id="41" name="图片_19_SpCnt_1"/>
                      <wp:cNvGraphicFramePr/>
                      <a:graphic xmlns:a="http://schemas.openxmlformats.org/drawingml/2006/main">
                        <a:graphicData uri="http://schemas.openxmlformats.org/drawingml/2006/picture">
                          <pic:pic xmlns:pic="http://schemas.openxmlformats.org/drawingml/2006/picture">
                            <pic:nvPicPr>
                              <pic:cNvPr id="86" name="图片_19_SpCnt_1"/>
                              <pic:cNvPicPr/>
                              <pic:nvPr/>
                            </pic:nvPicPr>
                            <pic:blipFill>
                              <a:blip r:embed="rId29"/>
                              <a:stretch/>
                            </pic:blipFill>
                            <pic:spPr bwMode="auto">
                              <a:xfrm>
                                <a:off x="0" y="0"/>
                                <a:ext cx="1222375" cy="286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10.2pt;mso-position-horizontal:absolute;mso-position-vertical-relative:text;margin-top:88.2pt;mso-position-vertical:absolute;width:96.2pt;height:225.5pt;mso-wrap-distance-left:9.0pt;mso-wrap-distance-top:0.0pt;mso-wrap-distance-right:9.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1、立杆规格：Ф299*12mm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r>
      <w:tr>
        <w:trPr>
          <w:jc w:val="center"/>
          <w:trHeight w:val="8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维修道路标志牌牌面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1、包含但不限于零件更换、扶正、反光膜的更换等所需要的人工、材料、机械的费用。</w:t>
            </w:r>
            <w:r/>
          </w:p>
        </w:tc>
      </w:tr>
      <w:tr>
        <w:trPr>
          <w:jc w:val="center"/>
          <w:trHeight w:val="7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指路标牌/ 分道标牌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207010</wp:posOffset>
                      </wp:positionH>
                      <wp:positionV relativeFrom="paragraph">
                        <wp:posOffset>2533015</wp:posOffset>
                      </wp:positionV>
                      <wp:extent cx="1156335" cy="1357630"/>
                      <wp:effectExtent l="0" t="0" r="5715" b="13970"/>
                      <wp:wrapNone/>
                      <wp:docPr id="42" name="IM_192"/>
                      <wp:cNvGraphicFramePr/>
                      <a:graphic xmlns:a="http://schemas.openxmlformats.org/drawingml/2006/main">
                        <a:graphicData uri="http://schemas.openxmlformats.org/drawingml/2006/picture">
                          <pic:pic xmlns:pic="http://schemas.openxmlformats.org/drawingml/2006/picture">
                            <pic:nvPicPr>
                              <pic:cNvPr id="88" name="IM_192"/>
                              <pic:cNvPicPr/>
                              <pic:nvPr/>
                            </pic:nvPicPr>
                            <pic:blipFill>
                              <a:blip r:embed="rId30"/>
                              <a:stretch/>
                            </pic:blipFill>
                            <pic:spPr bwMode="auto">
                              <a:xfrm>
                                <a:off x="0" y="0"/>
                                <a:ext cx="1156335" cy="13576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16.3pt;mso-position-horizontal:absolute;mso-position-vertical-relative:text;margin-top:199.4pt;mso-position-vertical:absolute;width:91.0pt;height:106.9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259080</wp:posOffset>
                      </wp:positionV>
                      <wp:extent cx="1396365" cy="1775460"/>
                      <wp:effectExtent l="0" t="0" r="13335" b="15240"/>
                      <wp:wrapNone/>
                      <wp:docPr id="43" name="图片_17_SpCnt_1"/>
                      <wp:cNvGraphicFramePr/>
                      <a:graphic xmlns:a="http://schemas.openxmlformats.org/drawingml/2006/main">
                        <a:graphicData uri="http://schemas.openxmlformats.org/drawingml/2006/picture">
                          <pic:pic xmlns:pic="http://schemas.openxmlformats.org/drawingml/2006/picture">
                            <pic:nvPicPr>
                              <pic:cNvPr id="87" name="图片_17_SpCnt_1"/>
                              <pic:cNvPicPr/>
                              <pic:nvPr/>
                            </pic:nvPicPr>
                            <pic:blipFill>
                              <a:blip r:embed="rId31"/>
                              <a:stretch/>
                            </pic:blipFill>
                            <pic:spPr bwMode="auto">
                              <a:xfrm>
                                <a:off x="0" y="0"/>
                                <a:ext cx="1396365" cy="1775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5.9pt;mso-position-horizontal:absolute;mso-position-vertical-relative:text;margin-top:20.4pt;mso-position-vertical:absolute;width:109.9pt;height:139.8pt;mso-wrap-distance-left:9.0pt;mso-wrap-distance-top:0.0pt;mso-wrap-distance-right:9.0pt;mso-wrap-distance-bottom:0.0pt;" stroked="f">
                      <v:path textboxrect="0,0,0,0"/>
                      <v:imagedata r:id="rId3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本项目施工前，中标单位需提供设具体建设地点、有资质的设计单位出具并盖章的设计图纸及效果图，经建设单位确认同意后方可施工。单价需包含该项实施的所需的全部费用（包含但不限于实施位置的清障费 、设计费、人工、材料、机械 、措施费、行车干扰施工增加费、管理费、利润、税金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等） ，深化设计后的图纸参数不得小于以下基本参数，基本参数如下：</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1、立杆规格：Ф273*8mm，L=8m 热轧无缝钢管；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2、横粱规格：Ф152*8mm，长度 4.59m、0.672m，电焊钢管；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3、5A02铝合金标志板：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4098*2598*3mm；蓝底、白图案、 白边框、蓝衬边/白衬边；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4、6303铝合金龙骨；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5、热镀锌钢管、钢板、螺栓等镀锌量满足相关规范要求；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6、油漆：喷塑层≥76</w:t>
            </w:r>
            <w:r>
              <w:rPr>
                <w:rFonts w:hint="default"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7、板面覆Ⅲ类反光膜，所需的  文字、标志图由建设方拟定，反 光膜的色度性能及逆反射系数值 应符合《GB/T 18833-2012》的有关规定；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8、报价包含土方开挖与回填、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C20混凝土垫层、C25钢筋混凝土 基础（1.6*1.6*2.4m）、钢筋笼 、预埋件、基础锚板、螺栓（全部采用不锈钢螺栓）、抱箍、加劲肋、滑槽、法兰盘及相关配件 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9、安装及运输应符合GB5768- 2009及施工技术规范的要求；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10、具体详见附件三；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11、质保期限：终身质保。</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三、标 线</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217805</wp:posOffset>
                      </wp:positionH>
                      <wp:positionV relativeFrom="paragraph">
                        <wp:posOffset>131445</wp:posOffset>
                      </wp:positionV>
                      <wp:extent cx="956945" cy="808990"/>
                      <wp:effectExtent l="0" t="0" r="14604" b="10160"/>
                      <wp:wrapNone/>
                      <wp:docPr id="44" name="图片_20"/>
                      <wp:cNvGraphicFramePr/>
                      <a:graphic xmlns:a="http://schemas.openxmlformats.org/drawingml/2006/main">
                        <a:graphicData uri="http://schemas.openxmlformats.org/drawingml/2006/picture">
                          <pic:pic xmlns:pic="http://schemas.openxmlformats.org/drawingml/2006/picture">
                            <pic:nvPicPr>
                              <pic:cNvPr id="92" name="图片_20"/>
                              <pic:cNvPicPr/>
                              <pic:nvPr/>
                            </pic:nvPicPr>
                            <pic:blipFill>
                              <a:blip r:embed="rId43"/>
                              <a:stretch/>
                            </pic:blipFill>
                            <pic:spPr bwMode="auto">
                              <a:xfrm>
                                <a:off x="0" y="0"/>
                                <a:ext cx="95694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17.1pt;mso-position-horizontal:absolute;mso-position-vertical-relative:text;margin-top:10.3pt;mso-position-vertical:absolute;width:75.3pt;height:63.7pt;mso-wrap-distance-left:9.0pt;mso-wrap-distance-top:0.0pt;mso-wrap-distance-right:9.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机动车停车位线宽0.15m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88900</wp:posOffset>
                      </wp:positionH>
                      <wp:positionV relativeFrom="paragraph">
                        <wp:posOffset>268605</wp:posOffset>
                      </wp:positionV>
                      <wp:extent cx="1251585" cy="772160"/>
                      <wp:effectExtent l="0" t="0" r="5715" b="8890"/>
                      <wp:wrapNone/>
                      <wp:docPr id="45" name="图片_21"/>
                      <wp:cNvGraphicFramePr/>
                      <a:graphic xmlns:a="http://schemas.openxmlformats.org/drawingml/2006/main">
                        <a:graphicData uri="http://schemas.openxmlformats.org/drawingml/2006/picture">
                          <pic:pic xmlns:pic="http://schemas.openxmlformats.org/drawingml/2006/picture">
                            <pic:nvPicPr>
                              <pic:cNvPr id="93" name="图片_21"/>
                              <pic:cNvPicPr/>
                              <pic:nvPr/>
                            </pic:nvPicPr>
                            <pic:blipFill>
                              <a:blip r:embed="rId44"/>
                              <a:stretch/>
                            </pic:blipFill>
                            <pic:spPr bwMode="auto">
                              <a:xfrm>
                                <a:off x="0" y="0"/>
                                <a:ext cx="125158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7.0pt;mso-position-horizontal:absolute;mso-position-vertical-relative:text;margin-top:21.1pt;mso-position-vertical:absolute;width:98.5pt;height:60.8pt;mso-wrap-distance-left:9.0pt;mso-wrap-distance-top:0.0pt;mso-wrap-distance-right:9.0pt;mso-wrap-distance-bottom:0.0pt;" stroked="f">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非机动车停车位线宽0.1m</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137160</wp:posOffset>
                      </wp:positionH>
                      <wp:positionV relativeFrom="paragraph">
                        <wp:posOffset>280670</wp:posOffset>
                      </wp:positionV>
                      <wp:extent cx="1168400" cy="704215"/>
                      <wp:effectExtent l="0" t="0" r="12700" b="635"/>
                      <wp:wrapNone/>
                      <wp:docPr id="46" name="图片_22"/>
                      <wp:cNvGraphicFramePr/>
                      <a:graphic xmlns:a="http://schemas.openxmlformats.org/drawingml/2006/main">
                        <a:graphicData uri="http://schemas.openxmlformats.org/drawingml/2006/picture">
                          <pic:pic xmlns:pic="http://schemas.openxmlformats.org/drawingml/2006/picture">
                            <pic:nvPicPr>
                              <pic:cNvPr id="91" name="图片_22"/>
                              <pic:cNvPicPr/>
                              <pic:nvPr/>
                            </pic:nvPicPr>
                            <pic:blipFill>
                              <a:blip r:embed="rId45"/>
                              <a:stretch/>
                            </pic:blipFill>
                            <pic:spPr bwMode="auto">
                              <a:xfrm>
                                <a:off x="0" y="0"/>
                                <a:ext cx="1168400"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10.8pt;mso-position-horizontal:absolute;mso-position-vertical-relative:text;margin-top:22.1pt;mso-position-vertical:absolute;width:92.0pt;height:55.4pt;mso-wrap-distance-left:9.0pt;mso-wrap-distance-top:0.0pt;mso-wrap-distance-right:9.0pt;mso-wrap-distance-bottom:0.0pt;" stroked="f">
                      <v:path textboxrect="0,0,0,0"/>
                      <v:imagedata r:id="rId4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2569.015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横向减速线(震荡标线)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315595</wp:posOffset>
                      </wp:positionH>
                      <wp:positionV relativeFrom="paragraph">
                        <wp:posOffset>100330</wp:posOffset>
                      </wp:positionV>
                      <wp:extent cx="913765" cy="587375"/>
                      <wp:effectExtent l="0" t="0" r="635" b="3175"/>
                      <wp:wrapNone/>
                      <wp:docPr id="47" name="图片_23"/>
                      <wp:cNvGraphicFramePr/>
                      <a:graphic xmlns:a="http://schemas.openxmlformats.org/drawingml/2006/main">
                        <a:graphicData uri="http://schemas.openxmlformats.org/drawingml/2006/picture">
                          <pic:pic xmlns:pic="http://schemas.openxmlformats.org/drawingml/2006/picture">
                            <pic:nvPicPr>
                              <pic:cNvPr id="94" name="图片_23"/>
                              <pic:cNvPicPr/>
                              <pic:nvPr/>
                            </pic:nvPicPr>
                            <pic:blipFill>
                              <a:blip r:embed="rId35"/>
                              <a:stretch/>
                            </pic:blipFill>
                            <pic:spPr bwMode="auto">
                              <a:xfrm>
                                <a:off x="0" y="0"/>
                                <a:ext cx="913765"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24.8pt;mso-position-horizontal:absolute;mso-position-vertical-relative:text;margin-top:7.9pt;mso-position-vertical:absolute;width:72.0pt;height:46.2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1、标线清除方式由投标人自行考虑，不限于机械清除、高压水枪清除、火除法等；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2、清扫现场、垃圾外运。</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文字模型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wp:posOffset>
                      </wp:positionH>
                      <wp:positionV relativeFrom="paragraph">
                        <wp:posOffset>59690</wp:posOffset>
                      </wp:positionV>
                      <wp:extent cx="875030" cy="646430"/>
                      <wp:effectExtent l="0" t="0" r="1270" b="1270"/>
                      <wp:wrapNone/>
                      <wp:docPr id="48" name="图片_24"/>
                      <wp:cNvGraphicFramePr/>
                      <a:graphic xmlns:a="http://schemas.openxmlformats.org/drawingml/2006/main">
                        <a:graphicData uri="http://schemas.openxmlformats.org/drawingml/2006/picture">
                          <pic:pic xmlns:pic="http://schemas.openxmlformats.org/drawingml/2006/picture">
                            <pic:nvPicPr>
                              <pic:cNvPr id="90" name="图片_24"/>
                              <pic:cNvPicPr/>
                              <pic:nvPr/>
                            </pic:nvPicPr>
                            <pic:blipFill>
                              <a:blip r:embed="rId46"/>
                              <a:stretch/>
                            </pic:blipFill>
                            <pic:spPr bwMode="auto">
                              <a:xfrm>
                                <a:off x="0" y="0"/>
                                <a:ext cx="87503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22.1pt;mso-position-horizontal:absolute;mso-position-vertical-relative:text;margin-top:4.7pt;mso-position-vertical:absolute;width:68.9pt;height:50.9pt;mso-wrap-distance-left:9.0pt;mso-wrap-distance-top:0.0pt;mso-wrap-distance-right:9.0pt;mso-wrap-distance-bottom:0.0pt;" stroked="f">
                      <v:path textboxrect="0,0,0,0"/>
                      <v:imagedata r:id="rId4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1、计量规则：以长、宽最大外接矩形面积计算；</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2、热熔反光型标线。</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四、宣传标牌等广告用品采购项目</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黑白打印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3、黑白打印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彩色纸打印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3、彩色纸张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2、克重：157G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3、双光铜版纸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白卡纸胶装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2、克重：240G 加大封面金丝白卡纸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3、胶装</w:t>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w:t>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3、皮纹纸横向胶装</w:t>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3、打钉或穿孔线装、横向胶装</w:t>
            </w:r>
            <w:r/>
          </w:p>
        </w:tc>
      </w:tr>
      <w:tr>
        <w:trPr>
          <w:jc w:val="center"/>
          <w:trHeight w:val="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项目文本铜版纸加急圈装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1、A3胶片圈装</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项目文本铜版纸精装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3、打钉或穿线、胶装</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1、规格：特大号</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项目效果图手持展板</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2、高清户外写真+KT板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3、黑色软包边</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1、规格：A0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管网展板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1、高清户外写真+KT板，规格100*140cm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2、含灰色包边费用</w:t>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交通护栏宣传广告制作安装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加厚户外黑白喷绘布</w:t>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交通悬空指示牌背面宣传广告制作安装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2、所有更换的公益广告及框架需在地面成套制作完成后再安装。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3、含吊车使用费；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4、本项因白天交通安全问题，必须夜间突击安装，相关增加的费用由报价人综合考虑在报价单价内。</w:t>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框架焊接</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1、国标热镀锌方管焊接，规格不得小于25*25*1.5mm，间距不大于1m，符合高空安全使用要求。</w:t>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贴纸制作安装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1、户外高清车贴裱膜制作安装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2、内容根据采购人要求印制；</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KT板制作安装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1、写真裱板制作安装，内容根据采购人要求印制；</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宣传条幅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1、横幅布穿竹安装（8米）</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胸牌工作证</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1、胶皮外壳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2、内页：180G白卡纸双面彩印内页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3、规格：8*12cm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4、配套挂绳</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制度牌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设计制作安装</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1、材质：开启式铝合金框、PVC透明片（60*90cm）；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2、高精写真内页（内容根据采购人要求印制）。</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不锈钢大戗牌租用</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1、尺寸：3.5*2.3米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2、材质：不锈钢</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3、包含运输，安装费用</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亚克力桌牌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1、材质：水晶亚克力磁吸桌牌含内页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2、规格：25*13cm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3、内页内容根据采购人要求印制</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纸质三角桌牌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1、250G铜版纸印制压痕</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2、加双面胶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3、印制内容据采购人要求印制</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彩旗</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1、工地彩旗：60*110cm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2、立杆：竹竿，高度250cm </w:t>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科室牌</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1、材质：铝制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2、规格：28*12cm</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喷绘</w:t>
            </w:r>
            <w:r/>
          </w:p>
        </w:tc>
        <w:tc>
          <w:tcPr>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2、厚度，克重符合招标人要求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3、规格及固定区域设置双层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4、质保期：2年</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5、拆除费用由投标人自行考虑，结算时不再增加</w:t>
            </w:r>
            <w:r/>
          </w:p>
        </w:tc>
      </w:tr>
      <w:tr>
        <w:trPr>
          <w:jc w:val="center"/>
          <w:trHeight w:val="500"/>
        </w:trPr>
        <w:tc>
          <w:tcPr>
            <w:gridSpan w:val="6"/>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五、其 他</w:t>
            </w:r>
            <w:r/>
          </w:p>
        </w:tc>
      </w:tr>
      <w:tr>
        <w:trPr>
          <w:jc w:val="center"/>
          <w:trHeight w:val="45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1、本项目施工前，中标单位需提供设具体建设地点、有资质的设计单位出具并盖章的设计图纸及效果图，经建设单位及公安交警部门确认同意后方可施工；</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2、根据现场实际情况进行锯缝、破除混凝土、挖土、拆除相关障碍物、废碴外运等，由投标人综合考虑此部分费用；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2、成套信号灯含所有硬件、软件、网络、电子警察、电源等一切建设费用；该信号灯接至公安交警指挥平台，并满足公安交警部门使用要求；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3、本交通信号按一个路口为1项，信号灯应满足各个方向的使用要求；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4、此项5年之内的维保费用由投标人报价时结合自身实力综合考虑；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5、具体实施位置根据建设方交办单实施。</w:t>
            </w:r>
            <w:r/>
          </w:p>
        </w:tc>
      </w:tr>
    </w:tbl>
    <w:p>
      <w:pPr>
        <w:ind w:firstLine="422"/>
        <w:keepLines w:val="0"/>
        <w:keepNext w:val="0"/>
        <w:pageBreakBefore w:val="0"/>
        <w:spacing w:line="348" w:lineRule="auto"/>
        <w:widowControl w:val="off"/>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二、商务要求</w:t>
      </w:r>
      <w:r/>
    </w:p>
    <w:p>
      <w:pPr>
        <w:numPr>
          <w:ilvl w:val="0"/>
          <w:numId w:val="0"/>
        </w:numPr>
        <w:ind w:firstLine="420"/>
        <w:keepLines w:val="0"/>
        <w:keepNext w:val="0"/>
        <w:pageBreakBefore w:val="0"/>
        <w:spacing w:line="348" w:lineRule="auto"/>
        <w:widowControl w:val="off"/>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cs="宋体"/>
          <w:color w:val="000000" w:themeColor="text1"/>
          <w:highlight w:val="none"/>
          <w:u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u w:val="none"/>
          <w:lang w:val="en-US" w:eastAsia="zh-CN"/>
          <w14:textFill>
            <w14:solidFill>
              <w14:schemeClr w14:val="tx1"/>
            </w14:solidFill>
          </w14:textFill>
        </w:rPr>
        <w:t xml:space="preserve">合同履行期限：</w:t>
      </w:r>
      <w:r>
        <w:rPr>
          <w:rFonts w:hint="eastAsia" w:cs="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二年。</w:t>
      </w:r>
      <w:r/>
    </w:p>
    <w:p>
      <w:pPr>
        <w:numPr>
          <w:ilvl w:val="0"/>
          <w:numId w:val="0"/>
        </w:numPr>
        <w:ind w:firstLine="420"/>
        <w:keepLines w:val="0"/>
        <w:keepNext w:val="0"/>
        <w:pageBreakBefore w:val="0"/>
        <w:spacing w:line="348" w:lineRule="auto"/>
        <w:widowControl w:val="off"/>
        <w:rPr>
          <w:rFonts w:hint="default"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cs="宋体"/>
          <w:color w:val="000000" w:themeColor="text1"/>
          <w:highlight w:val="none"/>
          <w:u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u w:val="none"/>
          <w:lang w:val="en-US" w:eastAsia="zh-CN"/>
          <w14:textFill>
            <w14:solidFill>
              <w14:schemeClr w14:val="tx1"/>
            </w14:solidFill>
          </w14:textFill>
        </w:rPr>
        <w:t xml:space="preserve">服务地点：甲方指定地点。</w:t>
      </w:r>
      <w:r/>
    </w:p>
    <w:p>
      <w:pPr>
        <w:numPr>
          <w:ilvl w:val="0"/>
          <w:numId w:val="0"/>
        </w:numPr>
        <w:ind w:firstLine="420"/>
        <w:keepLines w:val="0"/>
        <w:keepNext w:val="0"/>
        <w:pageBreakBefore w:val="0"/>
        <w:spacing w:line="348" w:lineRule="auto"/>
        <w:widowControl w:val="off"/>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cs="宋体"/>
          <w:color w:val="000000" w:themeColor="text1"/>
          <w:highlight w:val="none"/>
          <w:u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u w:val="none"/>
          <w:lang w:val="en-US" w:eastAsia="zh-CN"/>
          <w14:textFill>
            <w14:solidFill>
              <w14:schemeClr w14:val="tx1"/>
            </w14:solidFill>
          </w14:textFill>
        </w:rPr>
        <w:t xml:space="preserve">付款方式：合同签订后甲方预付合同价的30%作为预付款，2026年年底付至合同价款的30%（如已付预付款不再另行支付），竣工验收合格后待2027年年底付至合同价款的60%，一审结束后付至结算价款的80%，二审结束后付至终审价款的95%，余款待终审结束后且缺陷期满二十四个月后一次性无息结清。</w:t>
      </w:r>
      <w:r/>
    </w:p>
    <w:p>
      <w:pPr>
        <w:ind w:firstLine="420"/>
        <w:keepLines w:val="0"/>
        <w:keepNext w:val="0"/>
        <w:pageBreakBefore w:val="0"/>
        <w:spacing w:line="348" w:lineRule="auto"/>
        <w:widowControl w:val="off"/>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4、质量要求：</w:t>
      </w:r>
      <w:r>
        <w:rPr>
          <w:rFonts w:hint="eastAsia" w:ascii="宋体" w:hAnsi="宋体" w:eastAsia="宋体" w:cs="宋体"/>
          <w:color w:val="000000" w:themeColor="text1"/>
          <w:highlight w:val="none"/>
          <w:u w:val="none"/>
          <w:lang w:val="en-US" w:eastAsia="zh-CN"/>
          <w14:textFill>
            <w14:solidFill>
              <w14:schemeClr w14:val="tx1"/>
            </w14:solidFill>
          </w14:textFill>
        </w:rPr>
        <w:t xml:space="preserve">相关质量验收规范合格标准，验收执行国家或行业最新标准、招标文件各项技术参数指标、投标文件投标承诺所达到的各项技术参数指标（招标文件、投标文件、国家或行业标准不一致处以最高标准执行）</w:t>
      </w:r>
      <w:r/>
    </w:p>
    <w:p>
      <w:pPr>
        <w:ind w:firstLine="420"/>
        <w:keepLines w:val="0"/>
        <w:keepNext w:val="0"/>
        <w:pageBreakBefore w:val="0"/>
        <w:spacing w:line="348" w:lineRule="auto"/>
        <w:widowControl w:val="off"/>
        <w:rPr>
          <w:rFonts w:hint="default"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eastAsia="宋体" w:cs="宋体"/>
          <w:color w:val="000000" w:themeColor="text1"/>
          <w:highlight w:val="none"/>
          <w:u w:val="none"/>
          <w:lang w:val="en-US" w:eastAsia="zh-CN"/>
          <w14:textFill>
            <w14:solidFill>
              <w14:schemeClr w14:val="tx1"/>
            </w14:solidFill>
          </w14:textFill>
        </w:rPr>
        <w:t xml:space="preserve">5、质保期要求：指路标牌/分道标牌终身质保；交通信号灯五年质保。</w:t>
      </w:r>
      <w:r/>
    </w:p>
    <w:p>
      <w:pPr>
        <w:ind w:firstLine="422"/>
        <w:keepLines w:val="0"/>
        <w:keepNext w:val="0"/>
        <w:pageBreakBefore w:val="0"/>
        <w:spacing w:line="348" w:lineRule="auto"/>
        <w:widowControl w:val="off"/>
        <w:rPr>
          <w:rFonts w:hint="eastAsia" w:ascii="宋体" w:hAnsi="宋体" w:eastAsia="宋体" w:cs="宋体"/>
          <w:b/>
          <w:bCs/>
          <w:color w:val="000000" w:themeColor="text1"/>
          <w:highlight w:val="none"/>
          <w:u w:val="none"/>
          <w:lang w:val="en-US" w:eastAsia="zh-CN"/>
          <w14:textFill>
            <w14:solidFill>
              <w14:schemeClr w14:val="tx1"/>
            </w14:solidFill>
          </w14:textFill>
        </w:rPr>
      </w:pPr>
      <w:r>
        <w:rPr>
          <w:rFonts w:hint="eastAsia" w:ascii="宋体" w:hAnsi="宋体" w:eastAsia="宋体" w:cs="宋体"/>
          <w:b/>
          <w:bCs/>
          <w:color w:val="000000" w:themeColor="text1"/>
          <w:highlight w:val="none"/>
          <w:u w:val="none"/>
          <w:lang w:val="en-US" w:eastAsia="zh-CN"/>
          <w14:textFill>
            <w14:solidFill>
              <w14:schemeClr w14:val="tx1"/>
            </w14:solidFill>
          </w14:textFill>
        </w:rPr>
        <w:t xml:space="preserve">三、其他内容</w:t>
      </w:r>
      <w:r/>
    </w:p>
    <w:p>
      <w:pPr>
        <w:ind w:firstLine="422"/>
        <w:keepLines w:val="0"/>
        <w:keepNext w:val="0"/>
        <w:pageBreakBefore w:val="0"/>
        <w:spacing w:line="348" w:lineRule="auto"/>
        <w:widowControl w:val="off"/>
        <w:rPr>
          <w:rFonts w:hint="default" w:ascii="宋体" w:hAnsi="宋体" w:eastAsia="宋体" w:cs="宋体"/>
          <w:b/>
          <w:bCs/>
          <w:color w:val="000000" w:themeColor="text1"/>
          <w:highlight w:val="none"/>
          <w:u w:val="none"/>
          <w:lang w:val="en-US" w:eastAsia="zh-CN"/>
          <w14:textFill>
            <w14:solidFill>
              <w14:schemeClr w14:val="tx1"/>
            </w14:solidFill>
          </w14:textFill>
        </w:rPr>
      </w:pPr>
      <w:r>
        <w:rPr>
          <w:rFonts w:hint="eastAsia" w:ascii="宋体" w:hAnsi="宋体" w:eastAsia="宋体" w:cs="宋体"/>
          <w:b/>
          <w:bCs/>
          <w:color w:val="000000" w:themeColor="text1"/>
          <w:highlight w:val="none"/>
          <w:u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highlight w:val="none"/>
          <w:u w:val="none"/>
          <w:lang w:val="en-US" w:eastAsia="zh-CN"/>
          <w14:textFill>
            <w14:solidFill>
              <w14:schemeClr w14:val="tx1"/>
            </w14:solidFill>
          </w14:textFill>
        </w:rPr>
        <w:t xml:space="preserve">本项目采购标的按中小企业划分标准所属行业区分为</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其他未列明行业</w:t>
      </w:r>
      <w:r>
        <w:rPr>
          <w:rFonts w:hint="eastAsia" w:ascii="宋体" w:hAnsi="宋体" w:eastAsia="宋体" w:cs="宋体"/>
          <w:b/>
          <w:bCs/>
          <w:color w:val="000000" w:themeColor="text1"/>
          <w:sz w:val="24"/>
          <w:highlight w:val="none"/>
          <w:u w:val="none"/>
          <w:lang w:val="en-US" w:eastAsia="zh-CN"/>
          <w14:textFill>
            <w14:solidFill>
              <w14:schemeClr w14:val="tx1"/>
            </w14:solidFill>
          </w14:textFill>
        </w:rPr>
        <w:t xml:space="preserve">。</w:t>
      </w:r>
      <w:r/>
    </w:p>
    <w:p>
      <w:pPr>
        <w:ind w:firstLine="422"/>
        <w:keepLines w:val="0"/>
        <w:keepNext w:val="0"/>
        <w:pageBreakBefore w:val="0"/>
        <w:spacing w:line="348" w:lineRule="auto"/>
        <w:widowControl w:val="off"/>
        <w:rPr>
          <w:rFonts w:hint="eastAsia"/>
          <w:color w:val="000000" w:themeColor="text1"/>
          <w:lang w:eastAsia="zh-CN"/>
          <w14:textFill>
            <w14:solidFill>
              <w14:schemeClr w14:val="tx1"/>
            </w14:solidFill>
          </w14:textFill>
        </w:rPr>
      </w:pPr>
      <w:r>
        <w:rPr>
          <w:rFonts w:hint="eastAsia" w:ascii="宋体" w:hAnsi="宋体" w:eastAsia="宋体" w:cs="宋体"/>
          <w:b/>
          <w:bCs/>
          <w:color w:val="000000" w:themeColor="text1"/>
          <w:highlight w:val="none"/>
          <w:u w:val="none"/>
          <w:lang w:val="en-US" w:eastAsia="zh-CN"/>
          <w14:textFill>
            <w14:solidFill>
              <w14:schemeClr w14:val="tx1"/>
            </w14:solidFill>
          </w14:textFill>
        </w:rPr>
        <w:t xml:space="preserve">四、服务内容</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一</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巡查要求、养护人员、车辆、设备及材料要求</w:t>
      </w:r>
      <w:r/>
    </w:p>
    <w:p>
      <w:p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 xml:space="preserve">1、</w:t>
      </w:r>
      <w:r>
        <w:rPr>
          <w:rFonts w:hint="eastAsia" w:eastAsia="宋体" w:cs="Times New Roman"/>
          <w:color w:val="000000" w:themeColor="text1"/>
          <w:lang w:eastAsia="zh-CN"/>
          <w14:textFill>
            <w14:solidFill>
              <w14:schemeClr w14:val="tx1"/>
            </w14:solidFill>
          </w14:textFill>
        </w:rPr>
        <w:t xml:space="preserve">所有标段每</w:t>
      </w:r>
      <w:r>
        <w:rPr>
          <w:rFonts w:hint="eastAsia" w:cs="Times New Roman"/>
          <w:color w:val="000000" w:themeColor="text1"/>
          <w:lang w:val="en-US" w:eastAsia="zh-CN"/>
          <w14:textFill>
            <w14:solidFill>
              <w14:schemeClr w14:val="tx1"/>
            </w14:solidFill>
          </w14:textFill>
        </w:rPr>
        <w:t xml:space="preserve">日</w:t>
      </w:r>
      <w:r>
        <w:rPr>
          <w:rFonts w:hint="eastAsia" w:eastAsia="宋体" w:cs="Times New Roman"/>
          <w:color w:val="000000" w:themeColor="text1"/>
          <w:lang w:eastAsia="zh-CN"/>
          <w14:textFill>
            <w14:solidFill>
              <w14:schemeClr w14:val="tx1"/>
            </w14:solidFill>
          </w14:textFill>
        </w:rPr>
        <w:t xml:space="preserve">巡查，每次巡查所在标段的所有范围；</w:t>
      </w:r>
      <w:r>
        <w:rPr>
          <w:rFonts w:hint="eastAsia" w:cs="Times New Roman"/>
          <w:color w:val="000000" w:themeColor="text1"/>
          <w:lang w:val="en-US" w:eastAsia="zh-CN"/>
          <w14:textFill>
            <w14:solidFill>
              <w14:schemeClr w14:val="tx1"/>
            </w14:solidFill>
          </w14:textFill>
        </w:rPr>
        <w:t xml:space="preserve">并填写巡查点位表；每日提供</w:t>
      </w:r>
      <w:r>
        <w:rPr>
          <w:rFonts w:hint="eastAsia" w:eastAsia="宋体" w:cs="Times New Roman"/>
          <w:color w:val="000000" w:themeColor="text1"/>
          <w:lang w:eastAsia="zh-CN"/>
          <w14:textFill>
            <w14:solidFill>
              <w14:schemeClr w14:val="tx1"/>
            </w14:solidFill>
          </w14:textFill>
        </w:rPr>
        <w:t xml:space="preserve">巡查现场照片。</w:t>
      </w:r>
      <w:r/>
    </w:p>
    <w:p>
      <w:p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 xml:space="preserve">2、</w:t>
      </w:r>
      <w:r>
        <w:rPr>
          <w:rFonts w:hint="eastAsia" w:cs="Times New Roman"/>
          <w:color w:val="000000" w:themeColor="text1"/>
          <w:lang w:val="en-US" w:eastAsia="zh-CN"/>
          <w14:textFill>
            <w14:solidFill>
              <w14:schemeClr w14:val="tx1"/>
            </w14:solidFill>
          </w14:textFill>
        </w:rPr>
        <w:t xml:space="preserve">采购包</w:t>
      </w:r>
      <w:r>
        <w:rPr>
          <w:rFonts w:hint="eastAsia" w:eastAsia="宋体" w:cs="Times New Roman"/>
          <w:color w:val="000000" w:themeColor="text1"/>
          <w:lang w:eastAsia="zh-CN"/>
          <w14:textFill>
            <w14:solidFill>
              <w14:schemeClr w14:val="tx1"/>
            </w14:solidFill>
          </w14:textFill>
        </w:rPr>
        <w:t xml:space="preserve">一、二、三、</w:t>
      </w:r>
      <w:r>
        <w:rPr>
          <w:rFonts w:hint="eastAsia" w:eastAsia="宋体" w:cs="Times New Roman"/>
          <w:color w:val="000000" w:themeColor="text1"/>
          <w:lang w:val="en-US" w:eastAsia="zh-CN"/>
          <w14:textFill>
            <w14:solidFill>
              <w14:schemeClr w14:val="tx1"/>
            </w14:solidFill>
          </w14:textFill>
        </w:rPr>
        <w:t xml:space="preserve">四</w:t>
      </w:r>
      <w:r>
        <w:rPr>
          <w:rFonts w:hint="eastAsia" w:cs="Times New Roman"/>
          <w:color w:val="000000" w:themeColor="text1"/>
          <w:lang w:val="en-US" w:eastAsia="zh-CN"/>
          <w14:textFill>
            <w14:solidFill>
              <w14:schemeClr w14:val="tx1"/>
            </w14:solidFill>
          </w14:textFill>
        </w:rPr>
        <w:t xml:space="preserve">标段</w:t>
      </w:r>
      <w:r>
        <w:rPr>
          <w:rFonts w:hint="eastAsia" w:eastAsia="宋体" w:cs="Times New Roman"/>
          <w:color w:val="000000" w:themeColor="text1"/>
          <w:lang w:eastAsia="zh-CN"/>
          <w14:textFill>
            <w14:solidFill>
              <w14:schemeClr w14:val="tx1"/>
            </w14:solidFill>
          </w14:textFill>
        </w:rPr>
        <w:t xml:space="preserve">每次巡查</w:t>
      </w:r>
      <w:r>
        <w:rPr>
          <w:rFonts w:hint="eastAsia" w:eastAsia="宋体" w:cs="Times New Roman"/>
          <w:color w:val="000000" w:themeColor="text1"/>
          <w:lang w:val="en-US" w:eastAsia="zh-CN"/>
          <w14:textFill>
            <w14:solidFill>
              <w14:schemeClr w14:val="tx1"/>
            </w14:solidFill>
          </w14:textFill>
        </w:rPr>
        <w:t xml:space="preserve">至少需</w:t>
      </w:r>
      <w:r>
        <w:rPr>
          <w:rFonts w:hint="eastAsia" w:eastAsia="宋体" w:cs="Times New Roman"/>
          <w:color w:val="000000" w:themeColor="text1"/>
          <w:lang w:eastAsia="zh-CN"/>
          <w14:textFill>
            <w14:solidFill>
              <w14:schemeClr w14:val="tx1"/>
            </w14:solidFill>
          </w14:textFill>
        </w:rPr>
        <w:t xml:space="preserve">配备 1 辆巡查车辆（国六皮卡）进行道路巡查，人行道使用 1 辆非机动车辆巡视，巡查人员不少于 2 人(其中一名须为市政专业的技术人员)。</w:t>
      </w:r>
      <w:r/>
    </w:p>
    <w:p>
      <w:p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 xml:space="preserve">采购包五</w:t>
      </w:r>
      <w:r>
        <w:rPr>
          <w:rFonts w:hint="eastAsia" w:cs="Times New Roman"/>
          <w:color w:val="000000" w:themeColor="text1"/>
          <w:lang w:val="en-US" w:eastAsia="zh-CN"/>
          <w14:textFill>
            <w14:solidFill>
              <w14:schemeClr w14:val="tx1"/>
            </w14:solidFill>
          </w14:textFill>
        </w:rPr>
        <w:t xml:space="preserve">、六标段</w:t>
      </w:r>
      <w:r>
        <w:rPr>
          <w:rFonts w:hint="eastAsia" w:eastAsia="宋体" w:cs="Times New Roman"/>
          <w:color w:val="000000" w:themeColor="text1"/>
          <w:lang w:eastAsia="zh-CN"/>
          <w14:textFill>
            <w14:solidFill>
              <w14:schemeClr w14:val="tx1"/>
            </w14:solidFill>
          </w14:textFill>
        </w:rPr>
        <w:t xml:space="preserve">每次</w:t>
      </w:r>
      <w:r>
        <w:rPr>
          <w:rFonts w:hint="eastAsia" w:cs="Times New Roman"/>
          <w:color w:val="000000" w:themeColor="text1"/>
          <w:lang w:val="en-US" w:eastAsia="zh-CN"/>
          <w14:textFill>
            <w14:solidFill>
              <w14:schemeClr w14:val="tx1"/>
            </w14:solidFill>
          </w14:textFill>
        </w:rPr>
        <w:t xml:space="preserve">作业</w:t>
      </w:r>
      <w:r>
        <w:rPr>
          <w:rFonts w:hint="eastAsia" w:eastAsia="宋体" w:cs="Times New Roman"/>
          <w:color w:val="000000" w:themeColor="text1"/>
          <w:lang w:val="en-US" w:eastAsia="zh-CN"/>
          <w14:textFill>
            <w14:solidFill>
              <w14:schemeClr w14:val="tx1"/>
            </w14:solidFill>
          </w14:textFill>
        </w:rPr>
        <w:t xml:space="preserve">至少需</w:t>
      </w:r>
      <w:r>
        <w:rPr>
          <w:rFonts w:hint="eastAsia" w:eastAsia="宋体" w:cs="Times New Roman"/>
          <w:color w:val="000000" w:themeColor="text1"/>
          <w:lang w:eastAsia="zh-CN"/>
          <w14:textFill>
            <w14:solidFill>
              <w14:schemeClr w14:val="tx1"/>
            </w14:solidFill>
          </w14:textFill>
        </w:rPr>
        <w:t xml:space="preserve">配备</w:t>
      </w:r>
      <w:r>
        <w:rPr>
          <w:rFonts w:hint="eastAsia" w:cs="Times New Roman"/>
          <w:color w:val="000000" w:themeColor="text1"/>
          <w:lang w:val="en-US" w:eastAsia="zh-CN"/>
          <w14:textFill>
            <w14:solidFill>
              <w14:schemeClr w14:val="tx1"/>
            </w14:solidFill>
          </w14:textFill>
        </w:rPr>
        <w:t xml:space="preserve">2套</w:t>
      </w:r>
      <w:r>
        <w:rPr>
          <w:rFonts w:hint="eastAsia" w:eastAsia="宋体" w:cs="Times New Roman"/>
          <w:color w:val="000000" w:themeColor="text1"/>
          <w:lang w:val="en-US" w:eastAsia="zh-CN"/>
          <w14:textFill>
            <w14:solidFill>
              <w14:schemeClr w14:val="tx1"/>
            </w14:solidFill>
          </w14:textFill>
        </w:rPr>
        <w:t xml:space="preserve">检测</w:t>
      </w:r>
      <w:r>
        <w:rPr>
          <w:rFonts w:hint="eastAsia" w:cs="Times New Roman"/>
          <w:color w:val="000000" w:themeColor="text1"/>
          <w:lang w:val="en-US" w:eastAsia="zh-CN"/>
          <w14:textFill>
            <w14:solidFill>
              <w14:schemeClr w14:val="tx1"/>
            </w14:solidFill>
          </w14:textFill>
        </w:rPr>
        <w:t xml:space="preserve">设备</w:t>
      </w:r>
      <w:r>
        <w:rPr>
          <w:rFonts w:hint="eastAsia" w:eastAsia="宋体" w:cs="Times New Roman"/>
          <w:color w:val="000000" w:themeColor="text1"/>
          <w:lang w:val="en-US" w:eastAsia="zh-CN"/>
          <w14:textFill>
            <w14:solidFill>
              <w14:schemeClr w14:val="tx1"/>
            </w14:solidFill>
          </w14:textFill>
        </w:rPr>
        <w:t xml:space="preserve">，</w:t>
      </w:r>
      <w:r>
        <w:rPr>
          <w:rFonts w:hint="eastAsia" w:cs="Times New Roman"/>
          <w:color w:val="000000" w:themeColor="text1"/>
          <w:lang w:val="en-US" w:eastAsia="zh-CN"/>
          <w14:textFill>
            <w14:solidFill>
              <w14:schemeClr w14:val="tx1"/>
            </w14:solidFill>
          </w14:textFill>
        </w:rPr>
        <w:t xml:space="preserve">作业</w:t>
      </w:r>
      <w:r>
        <w:rPr>
          <w:rFonts w:hint="eastAsia" w:eastAsia="宋体" w:cs="Times New Roman"/>
          <w:color w:val="000000" w:themeColor="text1"/>
          <w:lang w:eastAsia="zh-CN"/>
          <w14:textFill>
            <w14:solidFill>
              <w14:schemeClr w14:val="tx1"/>
            </w14:solidFill>
          </w14:textFill>
        </w:rPr>
        <w:t xml:space="preserve">人员不少于 </w:t>
      </w:r>
      <w:r>
        <w:rPr>
          <w:rFonts w:hint="eastAsia" w:cs="Times New Roman"/>
          <w:color w:val="000000" w:themeColor="text1"/>
          <w:lang w:val="en-US" w:eastAsia="zh-CN"/>
          <w14:textFill>
            <w14:solidFill>
              <w14:schemeClr w14:val="tx1"/>
            </w14:solidFill>
          </w14:textFill>
        </w:rPr>
        <w:t xml:space="preserve">3</w:t>
      </w:r>
      <w:r>
        <w:rPr>
          <w:rFonts w:hint="eastAsia" w:eastAsia="宋体" w:cs="Times New Roman"/>
          <w:color w:val="000000" w:themeColor="text1"/>
          <w:lang w:eastAsia="zh-CN"/>
          <w14:textFill>
            <w14:solidFill>
              <w14:schemeClr w14:val="tx1"/>
            </w14:solidFill>
          </w14:textFill>
        </w:rPr>
        <w:t xml:space="preserve"> 人</w:t>
      </w:r>
      <w:r>
        <w:rPr>
          <w:rFonts w:hint="eastAsia" w:cs="Times New Roman"/>
          <w:color w:val="000000" w:themeColor="text1"/>
          <w:lang w:eastAsia="zh-CN"/>
          <w14:textFill>
            <w14:solidFill>
              <w14:schemeClr w14:val="tx1"/>
            </w14:solidFill>
          </w14:textFill>
        </w:rPr>
        <w:t xml:space="preserve">（</w:t>
      </w:r>
      <w:r>
        <w:rPr>
          <w:rFonts w:hint="eastAsia" w:eastAsia="宋体" w:cs="Times New Roman"/>
          <w:color w:val="000000" w:themeColor="text1"/>
          <w:lang w:eastAsia="zh-CN"/>
          <w14:textFill>
            <w14:solidFill>
              <w14:schemeClr w14:val="tx1"/>
            </w14:solidFill>
          </w14:textFill>
        </w:rPr>
        <w:t xml:space="preserve">其中一名须为市政专业的技术人员</w:t>
      </w:r>
      <w:r>
        <w:rPr>
          <w:rFonts w:hint="eastAsia" w:cs="Times New Roman"/>
          <w:color w:val="000000" w:themeColor="text1"/>
          <w:lang w:eastAsia="zh-CN"/>
          <w14:textFill>
            <w14:solidFill>
              <w14:schemeClr w14:val="tx1"/>
            </w14:solidFill>
          </w14:textFill>
        </w:rPr>
        <w:t xml:space="preserve">）</w:t>
      </w:r>
      <w:r>
        <w:rPr>
          <w:rFonts w:hint="eastAsia" w:eastAsia="宋体" w:cs="Times New Roman"/>
          <w:color w:val="000000" w:themeColor="text1"/>
          <w:lang w:val="en-US" w:eastAsia="zh-CN"/>
          <w14:textFill>
            <w14:solidFill>
              <w14:schemeClr w14:val="tx1"/>
            </w14:solidFill>
          </w14:textFill>
        </w:rPr>
        <w:t xml:space="preserve">。</w:t>
      </w:r>
      <w:r/>
    </w:p>
    <w:p>
      <w:pPr>
        <w:ind w:firstLine="420"/>
        <w:keepLines w:val="0"/>
        <w:keepNext w:val="0"/>
        <w:pageBreakBefore w:val="0"/>
        <w:spacing w:line="348" w:lineRule="auto"/>
        <w:widowControl w:val="off"/>
        <w:rPr>
          <w:rFonts w:hint="eastAsia" w:eastAsia="宋体"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采购包七</w:t>
      </w:r>
      <w:r>
        <w:rPr>
          <w:rFonts w:hint="eastAsia" w:cs="Times New Roman"/>
          <w:color w:val="000000" w:themeColor="text1"/>
          <w:lang w:eastAsia="zh-CN"/>
          <w14:textFill>
            <w14:solidFill>
              <w14:schemeClr w14:val="tx1"/>
            </w14:solidFill>
          </w14:textFill>
        </w:rPr>
        <w:t xml:space="preserve">、</w:t>
      </w:r>
      <w:r>
        <w:rPr>
          <w:rFonts w:hint="eastAsia" w:cs="Times New Roman"/>
          <w:color w:val="000000" w:themeColor="text1"/>
          <w:lang w:val="en-US" w:eastAsia="zh-CN"/>
          <w14:textFill>
            <w14:solidFill>
              <w14:schemeClr w14:val="tx1"/>
            </w14:solidFill>
          </w14:textFill>
        </w:rPr>
        <w:t xml:space="preserve">八标段</w:t>
      </w:r>
      <w:r>
        <w:rPr>
          <w:rFonts w:hint="eastAsia" w:eastAsia="宋体" w:cs="Times New Roman"/>
          <w:color w:val="000000" w:themeColor="text1"/>
          <w:lang w:val="en-US" w:eastAsia="zh-CN"/>
          <w14:textFill>
            <w14:solidFill>
              <w14:schemeClr w14:val="tx1"/>
            </w14:solidFill>
          </w14:textFill>
        </w:rPr>
        <w:t xml:space="preserve">巡查至少需</w:t>
      </w:r>
      <w:r>
        <w:rPr>
          <w:rFonts w:hint="eastAsia" w:eastAsia="宋体" w:cs="Times New Roman"/>
          <w:color w:val="000000" w:themeColor="text1"/>
          <w:lang w:eastAsia="zh-CN"/>
          <w14:textFill>
            <w14:solidFill>
              <w14:schemeClr w14:val="tx1"/>
            </w14:solidFill>
          </w14:textFill>
        </w:rPr>
        <w:t xml:space="preserve">配备 1 辆巡查车辆，巡查人员不少于2人(其中一名须为</w:t>
      </w:r>
      <w:r>
        <w:rPr>
          <w:rFonts w:hint="eastAsia" w:eastAsia="宋体" w:cs="Times New Roman"/>
          <w:color w:val="000000" w:themeColor="text1"/>
          <w:lang w:val="en-US" w:eastAsia="zh-CN"/>
          <w14:textFill>
            <w14:solidFill>
              <w14:schemeClr w14:val="tx1"/>
            </w14:solidFill>
          </w14:textFill>
        </w:rPr>
        <w:t xml:space="preserve">交通</w:t>
      </w:r>
      <w:r>
        <w:rPr>
          <w:rFonts w:hint="eastAsia" w:eastAsia="宋体" w:cs="Times New Roman"/>
          <w:color w:val="000000" w:themeColor="text1"/>
          <w:lang w:eastAsia="zh-CN"/>
          <w14:textFill>
            <w14:solidFill>
              <w14:schemeClr w14:val="tx1"/>
            </w14:solidFill>
          </w14:textFill>
        </w:rPr>
        <w:t xml:space="preserve">类的技术人员)</w:t>
      </w:r>
      <w:r/>
    </w:p>
    <w:p>
      <w:p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 xml:space="preserve">3、</w:t>
      </w:r>
      <w:r>
        <w:rPr>
          <w:rFonts w:hint="eastAsia" w:eastAsia="宋体" w:cs="Times New Roman"/>
          <w:color w:val="000000" w:themeColor="text1"/>
          <w:lang w:eastAsia="zh-CN"/>
          <w14:textFill>
            <w14:solidFill>
              <w14:schemeClr w14:val="tx1"/>
            </w14:solidFill>
          </w14:textFill>
        </w:rPr>
        <w:t xml:space="preserve">根据本项目采购内容，履行本项目至少需要配备下列车辆及设备：</w:t>
      </w:r>
      <w:r/>
    </w:p>
    <w:p>
      <w:p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采购包</w:t>
      </w:r>
      <w:r>
        <w:rPr>
          <w:rFonts w:hint="eastAsia" w:eastAsia="宋体" w:cs="Times New Roman"/>
          <w:color w:val="000000" w:themeColor="text1"/>
          <w:lang w:eastAsia="zh-CN"/>
          <w14:textFill>
            <w14:solidFill>
              <w14:schemeClr w14:val="tx1"/>
            </w14:solidFill>
          </w14:textFill>
        </w:rPr>
        <w:t xml:space="preserve">一、二、三、</w:t>
      </w:r>
      <w:r>
        <w:rPr>
          <w:rFonts w:hint="eastAsia" w:eastAsia="宋体" w:cs="Times New Roman"/>
          <w:color w:val="000000" w:themeColor="text1"/>
          <w:lang w:val="en-US" w:eastAsia="zh-CN"/>
          <w14:textFill>
            <w14:solidFill>
              <w14:schemeClr w14:val="tx1"/>
            </w14:solidFill>
          </w14:textFill>
        </w:rPr>
        <w:t xml:space="preserve">四</w:t>
      </w:r>
      <w:r>
        <w:rPr>
          <w:rFonts w:hint="eastAsia" w:eastAsia="宋体" w:cs="Times New Roman"/>
          <w:color w:val="000000" w:themeColor="text1"/>
          <w:lang w:eastAsia="zh-CN"/>
          <w14:textFill>
            <w14:solidFill>
              <w14:schemeClr w14:val="tx1"/>
            </w14:solidFill>
          </w14:textFill>
        </w:rPr>
        <w:t xml:space="preserve">标段至少配备不少于 3 辆皮卡汽车（1 辆作为巡查，2 辆作为施工车辆）、小型压路机、小铣刨机、挖掘机、小型发电机。</w:t>
      </w:r>
      <w:r/>
    </w:p>
    <w:p>
      <w:p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 xml:space="preserve">采购包五</w:t>
      </w:r>
      <w:r>
        <w:rPr>
          <w:rFonts w:hint="eastAsia" w:cs="Times New Roman"/>
          <w:color w:val="000000" w:themeColor="text1"/>
          <w:lang w:val="en-US" w:eastAsia="zh-CN"/>
          <w14:textFill>
            <w14:solidFill>
              <w14:schemeClr w14:val="tx1"/>
            </w14:solidFill>
          </w14:textFill>
        </w:rPr>
        <w:t xml:space="preserve">、六标段</w:t>
      </w:r>
      <w:r>
        <w:rPr>
          <w:rFonts w:hint="eastAsia" w:eastAsia="宋体" w:cs="Times New Roman"/>
          <w:color w:val="000000" w:themeColor="text1"/>
          <w:lang w:val="en-US" w:eastAsia="zh-CN"/>
          <w14:textFill>
            <w14:solidFill>
              <w14:schemeClr w14:val="tx1"/>
            </w14:solidFill>
          </w14:textFill>
        </w:rPr>
        <w:t xml:space="preserve">至少</w:t>
      </w:r>
      <w:r>
        <w:rPr>
          <w:rFonts w:hint="eastAsia" w:eastAsia="宋体" w:cs="Times New Roman"/>
          <w:color w:val="000000" w:themeColor="text1"/>
          <w:lang w:eastAsia="zh-CN"/>
          <w14:textFill>
            <w14:solidFill>
              <w14:schemeClr w14:val="tx1"/>
            </w14:solidFill>
          </w14:textFill>
        </w:rPr>
        <w:t xml:space="preserve">配备</w:t>
      </w:r>
      <w:r>
        <w:rPr>
          <w:rFonts w:hint="eastAsia" w:eastAsia="宋体" w:cs="Times New Roman"/>
          <w:color w:val="000000" w:themeColor="text1"/>
          <w:lang w:val="en-US" w:eastAsia="zh-CN"/>
          <w14:textFill>
            <w14:solidFill>
              <w14:schemeClr w14:val="tx1"/>
            </w14:solidFill>
          </w14:textFill>
        </w:rPr>
        <w:t xml:space="preserve">下水道疏通清洗车</w:t>
      </w:r>
      <w:r>
        <w:rPr>
          <w:rFonts w:hint="eastAsia" w:cs="Times New Roman"/>
          <w:color w:val="000000" w:themeColor="text1"/>
          <w:lang w:val="en-US" w:eastAsia="zh-CN"/>
          <w14:textFill>
            <w14:solidFill>
              <w14:schemeClr w14:val="tx1"/>
            </w14:solidFill>
          </w14:textFill>
        </w:rPr>
        <w:t xml:space="preserve">2</w:t>
      </w:r>
      <w:r>
        <w:rPr>
          <w:rFonts w:hint="eastAsia" w:eastAsia="宋体" w:cs="Times New Roman"/>
          <w:color w:val="000000" w:themeColor="text1"/>
          <w:lang w:val="en-US" w:eastAsia="zh-CN"/>
          <w14:textFill>
            <w14:solidFill>
              <w14:schemeClr w14:val="tx1"/>
            </w14:solidFill>
          </w14:textFill>
        </w:rPr>
        <w:t xml:space="preserve">辆、</w:t>
      </w:r>
      <w:r>
        <w:rPr>
          <w:rFonts w:hint="eastAsia" w:cs="Times New Roman"/>
          <w:color w:val="000000" w:themeColor="text1"/>
          <w:lang w:val="en-US" w:eastAsia="zh-CN"/>
          <w14:textFill>
            <w14:solidFill>
              <w14:schemeClr w14:val="tx1"/>
            </w14:solidFill>
          </w14:textFill>
        </w:rPr>
        <w:t xml:space="preserve">吸污</w:t>
      </w:r>
      <w:r>
        <w:rPr>
          <w:rFonts w:hint="eastAsia" w:eastAsia="宋体" w:cs="Times New Roman"/>
          <w:color w:val="000000" w:themeColor="text1"/>
          <w:lang w:val="en-US" w:eastAsia="zh-CN"/>
          <w14:textFill>
            <w14:solidFill>
              <w14:schemeClr w14:val="tx1"/>
            </w14:solidFill>
          </w14:textFill>
        </w:rPr>
        <w:t xml:space="preserve">车</w:t>
      </w:r>
      <w:r>
        <w:rPr>
          <w:rFonts w:hint="eastAsia" w:cs="Times New Roman"/>
          <w:color w:val="000000" w:themeColor="text1"/>
          <w:lang w:val="en-US" w:eastAsia="zh-CN"/>
          <w14:textFill>
            <w14:solidFill>
              <w14:schemeClr w14:val="tx1"/>
            </w14:solidFill>
          </w14:textFill>
        </w:rPr>
        <w:t xml:space="preserve">2</w:t>
      </w:r>
      <w:r>
        <w:rPr>
          <w:rFonts w:hint="eastAsia" w:eastAsia="宋体" w:cs="Times New Roman"/>
          <w:color w:val="000000" w:themeColor="text1"/>
          <w:lang w:val="en-US" w:eastAsia="zh-CN"/>
          <w14:textFill>
            <w14:solidFill>
              <w14:schemeClr w14:val="tx1"/>
            </w14:solidFill>
          </w14:textFill>
        </w:rPr>
        <w:t xml:space="preserve">辆、管道CCTV检测</w:t>
      </w:r>
      <w:r>
        <w:rPr>
          <w:rFonts w:hint="eastAsia" w:cs="Times New Roman"/>
          <w:color w:val="000000" w:themeColor="text1"/>
          <w:lang w:val="en-US" w:eastAsia="zh-CN"/>
          <w14:textFill>
            <w14:solidFill>
              <w14:schemeClr w14:val="tx1"/>
            </w14:solidFill>
          </w14:textFill>
        </w:rPr>
        <w:t xml:space="preserve">设备3套</w:t>
      </w:r>
      <w:r>
        <w:rPr>
          <w:rFonts w:hint="eastAsia" w:eastAsia="宋体" w:cs="Times New Roman"/>
          <w:color w:val="000000" w:themeColor="text1"/>
          <w:lang w:val="en-US" w:eastAsia="zh-CN"/>
          <w14:textFill>
            <w14:solidFill>
              <w14:schemeClr w14:val="tx1"/>
            </w14:solidFill>
          </w14:textFill>
        </w:rPr>
        <w:t xml:space="preserve">、高清管道内窥镜或者管道潜望镜（QV）</w:t>
      </w:r>
      <w:r>
        <w:rPr>
          <w:rFonts w:hint="eastAsia" w:cs="Times New Roman"/>
          <w:color w:val="000000" w:themeColor="text1"/>
          <w:lang w:val="en-US" w:eastAsia="zh-CN"/>
          <w14:textFill>
            <w14:solidFill>
              <w14:schemeClr w14:val="tx1"/>
            </w14:solidFill>
          </w14:textFill>
        </w:rPr>
        <w:t xml:space="preserve">检测设备3</w:t>
      </w:r>
      <w:r>
        <w:rPr>
          <w:rFonts w:hint="eastAsia" w:eastAsia="宋体" w:cs="Times New Roman"/>
          <w:color w:val="000000" w:themeColor="text1"/>
          <w:lang w:val="en-US" w:eastAsia="zh-CN"/>
          <w14:textFill>
            <w14:solidFill>
              <w14:schemeClr w14:val="tx1"/>
            </w14:solidFill>
          </w14:textFill>
        </w:rPr>
        <w:t xml:space="preserve">套、</w:t>
      </w:r>
      <w:r>
        <w:rPr>
          <w:rFonts w:hint="eastAsia" w:cs="Times New Roman"/>
          <w:color w:val="000000" w:themeColor="text1"/>
          <w:lang w:val="en-US" w:eastAsia="zh-CN"/>
          <w14:textFill>
            <w14:solidFill>
              <w14:schemeClr w14:val="tx1"/>
            </w14:solidFill>
          </w14:textFill>
        </w:rPr>
        <w:t xml:space="preserve">声纳检测设备2</w:t>
      </w:r>
      <w:r>
        <w:rPr>
          <w:rFonts w:hint="eastAsia" w:eastAsia="宋体" w:cs="Times New Roman"/>
          <w:color w:val="000000" w:themeColor="text1"/>
          <w:lang w:val="en-US" w:eastAsia="zh-CN"/>
          <w14:textFill>
            <w14:solidFill>
              <w14:schemeClr w14:val="tx1"/>
            </w14:solidFill>
          </w14:textFill>
        </w:rPr>
        <w:t xml:space="preserve">套。</w:t>
      </w:r>
      <w:r>
        <w:rPr>
          <w:rFonts w:hint="eastAsia" w:cs="Times New Roman"/>
          <w:color w:val="000000" w:themeColor="text1"/>
          <w:lang w:val="en-US" w:eastAsia="zh-CN"/>
          <w14:textFill>
            <w14:solidFill>
              <w14:schemeClr w14:val="tx1"/>
            </w14:solidFill>
          </w14:textFill>
        </w:rPr>
        <w:t xml:space="preserve">淤泥</w:t>
      </w:r>
      <w:r>
        <w:rPr>
          <w:rFonts w:hint="eastAsia" w:eastAsia="宋体" w:cs="Times New Roman"/>
          <w:color w:val="000000" w:themeColor="text1"/>
          <w:lang w:val="en-US" w:eastAsia="zh-CN"/>
          <w14:textFill>
            <w14:solidFill>
              <w14:schemeClr w14:val="tx1"/>
            </w14:solidFill>
          </w14:textFill>
        </w:rPr>
        <w:t xml:space="preserve">车根据</w:t>
      </w:r>
      <w:r>
        <w:rPr>
          <w:rFonts w:hint="eastAsia" w:cs="Times New Roman"/>
          <w:color w:val="000000" w:themeColor="text1"/>
          <w:lang w:val="en-US" w:eastAsia="zh-CN"/>
          <w14:textFill>
            <w14:solidFill>
              <w14:schemeClr w14:val="tx1"/>
            </w14:solidFill>
          </w14:textFill>
        </w:rPr>
        <w:t xml:space="preserve">环保要求</w:t>
      </w:r>
      <w:r>
        <w:rPr>
          <w:rFonts w:hint="eastAsia" w:eastAsia="宋体" w:cs="Times New Roman"/>
          <w:color w:val="000000" w:themeColor="text1"/>
          <w:lang w:val="en-US" w:eastAsia="zh-CN"/>
          <w14:textFill>
            <w14:solidFill>
              <w14:schemeClr w14:val="tx1"/>
            </w14:solidFill>
          </w14:textFill>
        </w:rPr>
        <w:t xml:space="preserve">必须加装卫星定位定位装置，可在线查询轨迹。</w:t>
      </w:r>
      <w:r/>
    </w:p>
    <w:p>
      <w:pPr>
        <w:ind w:firstLine="420"/>
        <w:keepLines w:val="0"/>
        <w:keepNext w:val="0"/>
        <w:pageBreakBefore w:val="0"/>
        <w:spacing w:line="348" w:lineRule="auto"/>
        <w:widowControl w:val="off"/>
        <w:rPr>
          <w:rFonts w:hint="default" w:eastAsia="宋体"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采购包七、八</w:t>
      </w:r>
      <w:r>
        <w:rPr>
          <w:rFonts w:hint="eastAsia" w:eastAsia="宋体" w:cs="Times New Roman"/>
          <w:color w:val="000000" w:themeColor="text1"/>
          <w:lang w:val="en-US" w:eastAsia="zh-CN"/>
          <w14:textFill>
            <w14:solidFill>
              <w14:schemeClr w14:val="tx1"/>
            </w14:solidFill>
          </w14:textFill>
        </w:rPr>
        <w:t xml:space="preserve">标段至少配备汽车式起重机、升降车、路面划线车、载货汽车。</w:t>
      </w:r>
      <w:r/>
    </w:p>
    <w:p>
      <w:pPr>
        <w:numPr>
          <w:ilvl w:val="0"/>
          <w:numId w:val="0"/>
        </w:numPr>
        <w:ind w:firstLine="420"/>
        <w:keepLines w:val="0"/>
        <w:keepNext w:val="0"/>
        <w:pageBreakBefore w:val="0"/>
        <w:spacing w:line="348" w:lineRule="auto"/>
        <w:widowControl w:val="off"/>
        <w:rPr>
          <w:rFonts w:hint="eastAsia" w:eastAsia="宋体"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4、</w:t>
      </w:r>
      <w:r>
        <w:rPr>
          <w:rFonts w:hint="eastAsia" w:eastAsia="宋体" w:cs="Times New Roman"/>
          <w:color w:val="000000" w:themeColor="text1"/>
          <w:lang w:eastAsia="zh-CN"/>
          <w14:textFill>
            <w14:solidFill>
              <w14:schemeClr w14:val="tx1"/>
            </w14:solidFill>
          </w14:textFill>
        </w:rPr>
        <w:t xml:space="preserve">项目部人员须配备齐全，其中：</w:t>
      </w:r>
      <w:r>
        <w:rPr>
          <w:rFonts w:hint="eastAsia" w:cs="Times New Roman"/>
          <w:color w:val="000000" w:themeColor="text1"/>
          <w:lang w:val="en-US" w:eastAsia="zh-CN"/>
          <w14:textFill>
            <w14:solidFill>
              <w14:schemeClr w14:val="tx1"/>
            </w14:solidFill>
          </w14:textFill>
        </w:rPr>
        <w:t xml:space="preserve">采购包</w:t>
      </w:r>
      <w:r>
        <w:rPr>
          <w:rFonts w:hint="eastAsia" w:eastAsia="宋体" w:cs="Times New Roman"/>
          <w:color w:val="000000" w:themeColor="text1"/>
          <w:lang w:val="en-US" w:eastAsia="zh-CN"/>
          <w14:textFill>
            <w14:solidFill>
              <w14:schemeClr w14:val="tx1"/>
            </w14:solidFill>
          </w14:textFill>
        </w:rPr>
        <w:t xml:space="preserve">一、二、三、四</w:t>
      </w:r>
      <w:r>
        <w:rPr>
          <w:rFonts w:hint="eastAsia" w:eastAsia="宋体" w:cs="Times New Roman"/>
          <w:color w:val="000000" w:themeColor="text1"/>
          <w:lang w:eastAsia="zh-CN"/>
          <w14:textFill>
            <w14:solidFill>
              <w14:schemeClr w14:val="tx1"/>
            </w14:solidFill>
          </w14:textFill>
        </w:rPr>
        <w:t xml:space="preserve">标段项目</w:t>
      </w:r>
      <w:r>
        <w:rPr>
          <w:rFonts w:hint="eastAsia" w:eastAsia="宋体" w:cs="Times New Roman"/>
          <w:color w:val="000000" w:themeColor="text1"/>
          <w:lang w:val="en-US" w:eastAsia="zh-CN"/>
          <w14:textFill>
            <w14:solidFill>
              <w14:schemeClr w14:val="tx1"/>
            </w14:solidFill>
          </w14:textFill>
        </w:rPr>
        <w:t xml:space="preserve">部组成人员至少包括项目负责人、技术负责人、专职安全员、管理人员</w:t>
      </w:r>
      <w:r>
        <w:rPr>
          <w:rFonts w:hint="eastAsia" w:cs="Times New Roman"/>
          <w:color w:val="000000" w:themeColor="text1"/>
          <w:lang w:val="en-US" w:eastAsia="zh-CN"/>
          <w14:textFill>
            <w14:solidFill>
              <w14:schemeClr w14:val="tx1"/>
            </w14:solidFill>
          </w14:textFill>
        </w:rPr>
        <w:t xml:space="preserve">、巡护员等；其中包一的</w:t>
      </w:r>
      <w:r>
        <w:rPr>
          <w:rFonts w:hint="eastAsia" w:eastAsia="宋体" w:cs="Times New Roman"/>
          <w:color w:val="000000" w:themeColor="text1"/>
          <w:lang w:eastAsia="zh-CN"/>
          <w14:textFill>
            <w14:solidFill>
              <w14:schemeClr w14:val="tx1"/>
            </w14:solidFill>
          </w14:textFill>
        </w:rPr>
        <w:t xml:space="preserve">项目</w:t>
      </w:r>
      <w:r>
        <w:rPr>
          <w:rFonts w:hint="eastAsia" w:eastAsia="宋体" w:cs="Times New Roman"/>
          <w:color w:val="000000" w:themeColor="text1"/>
          <w:lang w:val="en-US" w:eastAsia="zh-CN"/>
          <w14:textFill>
            <w14:solidFill>
              <w14:schemeClr w14:val="tx1"/>
            </w14:solidFill>
          </w14:textFill>
        </w:rPr>
        <w:t xml:space="preserve">部组成人员</w:t>
      </w:r>
      <w:r>
        <w:rPr>
          <w:rFonts w:hint="eastAsia" w:cs="Times New Roman"/>
          <w:color w:val="000000" w:themeColor="text1"/>
          <w:lang w:val="en-US" w:eastAsia="zh-CN"/>
          <w14:textFill>
            <w14:solidFill>
              <w14:schemeClr w14:val="tx1"/>
            </w14:solidFill>
          </w14:textFill>
        </w:rPr>
        <w:t xml:space="preserve">不少于</w:t>
      </w:r>
      <w:r>
        <w:rPr>
          <w:rFonts w:hint="eastAsia" w:eastAsia="宋体" w:cs="Times New Roman"/>
          <w:color w:val="000000" w:themeColor="text1"/>
          <w:lang w:val="en-US" w:eastAsia="zh-CN"/>
          <w14:textFill>
            <w14:solidFill>
              <w14:schemeClr w14:val="tx1"/>
            </w14:solidFill>
          </w14:textFill>
        </w:rPr>
        <w:t xml:space="preserve"> 10 人</w:t>
      </w:r>
      <w:r>
        <w:rPr>
          <w:rFonts w:hint="eastAsia" w:cs="Times New Roman"/>
          <w:color w:val="000000" w:themeColor="text1"/>
          <w:lang w:val="en-US" w:eastAsia="zh-CN"/>
          <w14:textFill>
            <w14:solidFill>
              <w14:schemeClr w14:val="tx1"/>
            </w14:solidFill>
          </w14:textFill>
        </w:rPr>
        <w:t xml:space="preserve">；包二、三、四的</w:t>
      </w:r>
      <w:r>
        <w:rPr>
          <w:rFonts w:hint="eastAsia" w:eastAsia="宋体" w:cs="Times New Roman"/>
          <w:color w:val="000000" w:themeColor="text1"/>
          <w:lang w:eastAsia="zh-CN"/>
          <w14:textFill>
            <w14:solidFill>
              <w14:schemeClr w14:val="tx1"/>
            </w14:solidFill>
          </w14:textFill>
        </w:rPr>
        <w:t xml:space="preserve">项目</w:t>
      </w:r>
      <w:r>
        <w:rPr>
          <w:rFonts w:hint="eastAsia" w:eastAsia="宋体" w:cs="Times New Roman"/>
          <w:color w:val="000000" w:themeColor="text1"/>
          <w:lang w:val="en-US" w:eastAsia="zh-CN"/>
          <w14:textFill>
            <w14:solidFill>
              <w14:schemeClr w14:val="tx1"/>
            </w14:solidFill>
          </w14:textFill>
        </w:rPr>
        <w:t xml:space="preserve">部组成人员</w:t>
      </w:r>
      <w:r>
        <w:rPr>
          <w:rFonts w:hint="eastAsia" w:cs="Times New Roman"/>
          <w:color w:val="000000" w:themeColor="text1"/>
          <w:lang w:val="en-US" w:eastAsia="zh-CN"/>
          <w14:textFill>
            <w14:solidFill>
              <w14:schemeClr w14:val="tx1"/>
            </w14:solidFill>
          </w14:textFill>
        </w:rPr>
        <w:t xml:space="preserve">不少于</w:t>
      </w:r>
      <w:r>
        <w:rPr>
          <w:rFonts w:hint="eastAsia" w:eastAsia="宋体" w:cs="Times New Roman"/>
          <w:color w:val="000000" w:themeColor="text1"/>
          <w:lang w:val="en-US" w:eastAsia="zh-CN"/>
          <w14:textFill>
            <w14:solidFill>
              <w14:schemeClr w14:val="tx1"/>
            </w14:solidFill>
          </w14:textFill>
        </w:rPr>
        <w:t xml:space="preserve"> </w:t>
      </w:r>
      <w:r>
        <w:rPr>
          <w:rFonts w:hint="eastAsia" w:cs="Times New Roman"/>
          <w:color w:val="000000" w:themeColor="text1"/>
          <w:lang w:val="en-US" w:eastAsia="zh-CN"/>
          <w14:textFill>
            <w14:solidFill>
              <w14:schemeClr w14:val="tx1"/>
            </w14:solidFill>
          </w14:textFill>
        </w:rPr>
        <w:t xml:space="preserve">5</w:t>
      </w:r>
      <w:r>
        <w:rPr>
          <w:rFonts w:hint="eastAsia" w:eastAsia="宋体" w:cs="Times New Roman"/>
          <w:color w:val="000000" w:themeColor="text1"/>
          <w:lang w:val="en-US" w:eastAsia="zh-CN"/>
          <w14:textFill>
            <w14:solidFill>
              <w14:schemeClr w14:val="tx1"/>
            </w14:solidFill>
          </w14:textFill>
        </w:rPr>
        <w:t xml:space="preserve">人</w:t>
      </w:r>
      <w:r>
        <w:rPr>
          <w:rFonts w:hint="eastAsia" w:cs="Times New Roman"/>
          <w:color w:val="000000" w:themeColor="text1"/>
          <w:lang w:val="en-US" w:eastAsia="zh-CN"/>
          <w14:textFill>
            <w14:solidFill>
              <w14:schemeClr w14:val="tx1"/>
            </w14:solidFill>
          </w14:textFill>
        </w:rPr>
        <w:t xml:space="preserve">；</w:t>
      </w:r>
      <w:r>
        <w:rPr>
          <w:rFonts w:hint="eastAsia" w:eastAsia="宋体" w:cs="Times New Roman"/>
          <w:color w:val="000000" w:themeColor="text1"/>
          <w:lang w:val="en-US" w:eastAsia="zh-CN"/>
          <w14:textFill>
            <w14:solidFill>
              <w14:schemeClr w14:val="tx1"/>
            </w14:solidFill>
          </w14:textFill>
        </w:rPr>
        <w:t xml:space="preserve">（项目部组成人员年龄要求在55周岁以下）；</w:t>
      </w:r>
      <w:r/>
    </w:p>
    <w:p>
      <w:pPr>
        <w:numPr>
          <w:ilvl w:val="0"/>
          <w:numId w:val="0"/>
        </w:numPr>
        <w:ind w:firstLine="420"/>
        <w:keepLines w:val="0"/>
        <w:keepNext w:val="0"/>
        <w:pageBreakBefore w:val="0"/>
        <w:spacing w:line="348" w:lineRule="auto"/>
        <w:widowControl w:val="off"/>
        <w:rPr>
          <w:rFonts w:hint="eastAsia"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采购包五、六标段</w:t>
      </w:r>
      <w:r>
        <w:rPr>
          <w:rFonts w:hint="eastAsia" w:eastAsia="宋体" w:cs="Times New Roman"/>
          <w:color w:val="000000" w:themeColor="text1"/>
          <w:lang w:eastAsia="zh-CN"/>
          <w14:textFill>
            <w14:solidFill>
              <w14:schemeClr w14:val="tx1"/>
            </w14:solidFill>
          </w14:textFill>
        </w:rPr>
        <w:t xml:space="preserve">项目</w:t>
      </w:r>
      <w:r>
        <w:rPr>
          <w:rFonts w:hint="eastAsia" w:eastAsia="宋体" w:cs="Times New Roman"/>
          <w:color w:val="000000" w:themeColor="text1"/>
          <w:lang w:val="en-US" w:eastAsia="zh-CN"/>
          <w14:textFill>
            <w14:solidFill>
              <w14:schemeClr w14:val="tx1"/>
            </w14:solidFill>
          </w14:textFill>
        </w:rPr>
        <w:t xml:space="preserve">部组成人员至少包括项目负责人、技术负责人、专职安全员</w:t>
      </w:r>
      <w:r>
        <w:rPr>
          <w:rFonts w:hint="eastAsia" w:cs="Times New Roman"/>
          <w:color w:val="000000" w:themeColor="text1"/>
          <w:lang w:val="en-US" w:eastAsia="zh-CN"/>
          <w14:textFill>
            <w14:solidFill>
              <w14:schemeClr w14:val="tx1"/>
            </w14:solidFill>
          </w14:textFill>
        </w:rPr>
        <w:t xml:space="preserve">、管道养护工（包括但不限于下水道养护工、潜水员、潜水安全员、有毒有害有限空间作业证）等不少于15人</w:t>
      </w:r>
      <w:r>
        <w:rPr>
          <w:rFonts w:hint="eastAsia" w:eastAsia="宋体" w:cs="Times New Roman"/>
          <w:color w:val="000000" w:themeColor="text1"/>
          <w:lang w:val="en-US" w:eastAsia="zh-CN"/>
          <w14:textFill>
            <w14:solidFill>
              <w14:schemeClr w14:val="tx1"/>
            </w14:solidFill>
          </w14:textFill>
        </w:rPr>
        <w:t xml:space="preserve">（项目部组成人员年龄要求在55周岁以下）。</w:t>
      </w:r>
      <w:r/>
    </w:p>
    <w:p>
      <w:pPr>
        <w:numPr>
          <w:ilvl w:val="0"/>
          <w:numId w:val="0"/>
        </w:numPr>
        <w:ind w:firstLine="420"/>
        <w:keepLines w:val="0"/>
        <w:keepNext w:val="0"/>
        <w:pageBreakBefore w:val="0"/>
        <w:spacing w:line="348" w:lineRule="auto"/>
        <w:widowControl w:val="off"/>
        <w:rPr>
          <w:rFonts w:hint="eastAsia" w:eastAsia="宋体"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采购包七、八</w:t>
      </w:r>
      <w:r>
        <w:rPr>
          <w:rFonts w:hint="eastAsia" w:eastAsia="宋体" w:cs="Times New Roman"/>
          <w:color w:val="000000" w:themeColor="text1"/>
          <w:lang w:val="en-US" w:eastAsia="zh-CN"/>
          <w14:textFill>
            <w14:solidFill>
              <w14:schemeClr w14:val="tx1"/>
            </w14:solidFill>
          </w14:textFill>
        </w:rPr>
        <w:t xml:space="preserve">标段项目部组成人员至少包括项目负责人、技术负责人、专职安全员</w:t>
      </w:r>
      <w:r>
        <w:rPr>
          <w:rFonts w:hint="eastAsia" w:cs="Times New Roman"/>
          <w:color w:val="000000" w:themeColor="text1"/>
          <w:lang w:val="en-US" w:eastAsia="zh-CN"/>
          <w14:textFill>
            <w14:solidFill>
              <w14:schemeClr w14:val="tx1"/>
            </w14:solidFill>
          </w14:textFill>
        </w:rPr>
        <w:t xml:space="preserve">、管理人员、巡护员</w:t>
      </w:r>
      <w:r>
        <w:rPr>
          <w:rFonts w:hint="eastAsia" w:eastAsia="宋体" w:cs="Times New Roman"/>
          <w:color w:val="000000" w:themeColor="text1"/>
          <w:lang w:val="en-US" w:eastAsia="zh-CN"/>
          <w14:textFill>
            <w14:solidFill>
              <w14:schemeClr w14:val="tx1"/>
            </w14:solidFill>
          </w14:textFill>
        </w:rPr>
        <w:t xml:space="preserve">等不少于</w:t>
      </w:r>
      <w:r>
        <w:rPr>
          <w:rFonts w:hint="eastAsia" w:cs="Times New Roman"/>
          <w:color w:val="000000" w:themeColor="text1"/>
          <w:lang w:val="en-US" w:eastAsia="zh-CN"/>
          <w14:textFill>
            <w14:solidFill>
              <w14:schemeClr w14:val="tx1"/>
            </w14:solidFill>
          </w14:textFill>
        </w:rPr>
        <w:t xml:space="preserve">5</w:t>
      </w:r>
      <w:r>
        <w:rPr>
          <w:rFonts w:hint="eastAsia" w:eastAsia="宋体" w:cs="Times New Roman"/>
          <w:color w:val="000000" w:themeColor="text1"/>
          <w:lang w:val="en-US" w:eastAsia="zh-CN"/>
          <w14:textFill>
            <w14:solidFill>
              <w14:schemeClr w14:val="tx1"/>
            </w14:solidFill>
          </w14:textFill>
        </w:rPr>
        <w:t xml:space="preserve"> 人（项目部组成人员年龄要求在55周岁以下）。</w:t>
      </w:r>
      <w:r/>
    </w:p>
    <w:p>
      <w:pPr>
        <w:numPr>
          <w:ilvl w:val="0"/>
          <w:numId w:val="0"/>
        </w:num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 xml:space="preserve">配备的人员素质、技术能力、专业分布需符合本项目养</w:t>
      </w:r>
      <w:r>
        <w:rPr>
          <w:rFonts w:hint="eastAsia" w:eastAsia="宋体" w:cs="Times New Roman"/>
          <w:color w:val="000000" w:themeColor="text1"/>
          <w:lang w:eastAsia="zh-CN"/>
          <w14:textFill>
            <w14:solidFill>
              <w14:schemeClr w14:val="tx1"/>
            </w14:solidFill>
          </w14:textFill>
        </w:rPr>
        <w:t xml:space="preserve">护要求。后期根据养护要求及突发事件应急处理及重大活动保障等增加人员配备，满足采购人要求。</w:t>
      </w:r>
      <w:r/>
    </w:p>
    <w:p>
      <w:pPr>
        <w:ind w:firstLine="420"/>
        <w:keepLines w:val="0"/>
        <w:keepNext w:val="0"/>
        <w:pageBreakBefore w:val="0"/>
        <w:spacing w:line="348" w:lineRule="auto"/>
        <w:widowControl w:val="off"/>
        <w:rPr>
          <w:rFonts w:hint="eastAsia" w:eastAsia="宋体" w:cs="Times New Roman"/>
          <w:color w:val="000000" w:themeColor="text1"/>
          <w:lang w:eastAsia="zh-CN"/>
          <w14:textFill>
            <w14:solidFill>
              <w14:schemeClr w14:val="tx1"/>
            </w14:solidFill>
          </w14:textFill>
        </w:rPr>
      </w:pPr>
      <w:r>
        <w:rPr>
          <w:rFonts w:hint="eastAsia" w:eastAsia="宋体" w:cs="Times New Roman"/>
          <w:color w:val="000000" w:themeColor="text1"/>
          <w:lang w:val="en-US" w:eastAsia="zh-CN"/>
          <w14:textFill>
            <w14:solidFill>
              <w14:schemeClr w14:val="tx1"/>
            </w14:solidFill>
          </w14:textFill>
        </w:rPr>
        <w:t xml:space="preserve">5</w:t>
      </w:r>
      <w:r>
        <w:rPr>
          <w:rFonts w:hint="eastAsia" w:eastAsia="宋体" w:cs="Times New Roman"/>
          <w:color w:val="000000" w:themeColor="text1"/>
          <w:lang w:eastAsia="zh-CN"/>
          <w14:textFill>
            <w14:solidFill>
              <w14:schemeClr w14:val="tx1"/>
            </w14:solidFill>
          </w14:textFill>
        </w:rPr>
        <w:t xml:space="preserve">、按</w:t>
      </w:r>
      <w:r>
        <w:rPr>
          <w:rFonts w:hint="eastAsia" w:cs="Times New Roman"/>
          <w:color w:val="000000" w:themeColor="text1"/>
          <w:lang w:val="en-US" w:eastAsia="zh-CN"/>
          <w14:textFill>
            <w14:solidFill>
              <w14:schemeClr w14:val="tx1"/>
            </w14:solidFill>
          </w14:textFill>
        </w:rPr>
        <w:t xml:space="preserve">养护区域的材料</w:t>
      </w:r>
      <w:r>
        <w:rPr>
          <w:rFonts w:hint="eastAsia" w:eastAsia="宋体" w:cs="Times New Roman"/>
          <w:color w:val="000000" w:themeColor="text1"/>
          <w:lang w:eastAsia="zh-CN"/>
          <w14:textFill>
            <w14:solidFill>
              <w14:schemeClr w14:val="tx1"/>
            </w14:solidFill>
          </w14:textFill>
        </w:rPr>
        <w:t xml:space="preserve">要备足一个月库存</w:t>
      </w:r>
      <w:r>
        <w:rPr>
          <w:rFonts w:hint="eastAsia" w:cs="Times New Roman"/>
          <w:color w:val="000000" w:themeColor="text1"/>
          <w:lang w:eastAsia="zh-CN"/>
          <w14:textFill>
            <w14:solidFill>
              <w14:schemeClr w14:val="tx1"/>
            </w14:solidFill>
          </w14:textFill>
        </w:rPr>
        <w:t xml:space="preserve">。</w:t>
      </w:r>
      <w:r/>
    </w:p>
    <w:p>
      <w:pPr>
        <w:ind w:firstLine="420"/>
        <w:keepLines w:val="0"/>
        <w:keepNext w:val="0"/>
        <w:pageBreakBefore w:val="0"/>
        <w:spacing w:line="348" w:lineRule="auto"/>
        <w:widowControl w:val="off"/>
        <w:rPr>
          <w:rFonts w:hint="eastAsia"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6、</w:t>
      </w:r>
      <w:r>
        <w:rPr>
          <w:rFonts w:hint="eastAsia" w:ascii="Times New Roman" w:hAnsi="Times New Roman" w:cs="Times New Roman"/>
          <w:color w:val="000000" w:themeColor="text1"/>
          <w:lang w:val="en-US" w:eastAsia="zh-CN"/>
          <w14:textFill>
            <w14:solidFill>
              <w14:schemeClr w14:val="tx1"/>
            </w14:solidFill>
          </w14:textFill>
        </w:rPr>
        <w:t xml:space="preserve">在项目实施前，配备与本项目养护范围内材料备料，提供相适应的固定办公场所、机械设备及材料堆放场地等，现场备存材料一月一查。</w:t>
      </w:r>
      <w:r/>
    </w:p>
    <w:p>
      <w:pPr>
        <w:pStyle w:val="713"/>
        <w:ind w:firstLine="420"/>
        <w:keepLines w:val="0"/>
        <w:keepNext w:val="0"/>
        <w:pageBreakBefore w:val="0"/>
        <w:spacing w:line="348" w:lineRule="auto"/>
        <w:widowControl w:val="off"/>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7、警示桩、U型杆、标牌、标杆、隔离栏杆等破损的运至市政仓库，并移交清单</w:t>
      </w:r>
      <w:r>
        <w:rPr>
          <w:rFonts w:hint="eastAsia" w:cs="Times New Roman"/>
          <w:color w:val="000000" w:themeColor="text1"/>
          <w:sz w:val="21"/>
          <w:szCs w:val="21"/>
          <w:lang w:val="en-US" w:eastAsia="zh-CN" w:bidi="ar-SA"/>
          <w14:textFill>
            <w14:solidFill>
              <w14:schemeClr w14:val="tx1"/>
            </w14:solidFill>
          </w14:textFill>
        </w:rPr>
        <w:t xml:space="preserve">。</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（二）、</w:t>
      </w:r>
      <w:r>
        <w:rPr>
          <w:color w:val="000000" w:themeColor="text1"/>
          <w14:textFill>
            <w14:solidFill>
              <w14:schemeClr w14:val="tx1"/>
            </w14:solidFill>
          </w14:textFill>
        </w:rPr>
        <w:t xml:space="preserve">养护时间及质量要求</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1、及时性要求</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(1)—般维修任务要求接到任务通知后 </w:t>
      </w:r>
      <w:r>
        <w:rPr>
          <w:rFonts w:hint="eastAsia"/>
          <w:color w:val="000000" w:themeColor="text1"/>
          <w:lang w:val="en-US" w:eastAsia="zh-CN"/>
          <w14:textFill>
            <w14:solidFill>
              <w14:schemeClr w14:val="tx1"/>
            </w14:solidFill>
          </w14:textFill>
        </w:rPr>
        <w:t xml:space="preserve">8</w:t>
      </w:r>
      <w:r>
        <w:rPr>
          <w:color w:val="000000" w:themeColor="text1"/>
          <w14:textFill>
            <w14:solidFill>
              <w14:schemeClr w14:val="tx1"/>
            </w14:solidFill>
          </w14:textFill>
        </w:rPr>
        <w:t xml:space="preserve"> 小时内完成；</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(2)紧急抢修任务要求接到任务通知后 </w:t>
      </w:r>
      <w:r>
        <w:rPr>
          <w:rFonts w:hint="eastAsia"/>
          <w:color w:val="000000" w:themeColor="text1"/>
          <w:lang w:val="en-US" w:eastAsia="zh-CN"/>
          <w14:textFill>
            <w14:solidFill>
              <w14:schemeClr w14:val="tx1"/>
            </w14:solidFill>
          </w14:textFill>
        </w:rPr>
        <w:t xml:space="preserve">2</w:t>
      </w:r>
      <w:r>
        <w:rPr>
          <w:color w:val="000000" w:themeColor="text1"/>
          <w14:textFill>
            <w14:solidFill>
              <w14:schemeClr w14:val="tx1"/>
            </w14:solidFill>
          </w14:textFill>
        </w:rPr>
        <w:t xml:space="preserve">小时内完成；</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(3)特殊紧急抢修任务要求接到任务通知书后立即（1小时内）赶赴现场修复；</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(4) 施工结束后应及时报监理单位核实</w:t>
      </w:r>
      <w:r>
        <w:rPr>
          <w:rFonts w:hint="eastAsia"/>
          <w:color w:val="000000" w:themeColor="text1"/>
          <w:lang w:val="en-US" w:eastAsia="zh-CN"/>
          <w14:textFill>
            <w14:solidFill>
              <w14:schemeClr w14:val="tx1"/>
            </w14:solidFill>
          </w14:textFill>
        </w:rPr>
        <w:t xml:space="preserve">和跟踪审计单位计量</w:t>
      </w:r>
      <w:r>
        <w:rPr>
          <w:color w:val="000000" w:themeColor="text1"/>
          <w14:textFill>
            <w14:solidFill>
              <w14:schemeClr w14:val="tx1"/>
            </w14:solidFill>
          </w14:textFill>
        </w:rPr>
        <w:t xml:space="preserve">，再报至管理部门；</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(5) 施工单位项目负责人需每月组织养护人员进行安全生产例会，并做好相关台账资料（照片、会议记录</w:t>
      </w:r>
      <w:r>
        <w:rPr>
          <w:rFonts w:hint="eastAsia"/>
          <w:color w:val="000000" w:themeColor="text1"/>
          <w:lang w:val="en-US" w:eastAsia="zh-CN"/>
          <w14:textFill>
            <w14:solidFill>
              <w14:schemeClr w14:val="tx1"/>
            </w14:solidFill>
          </w14:textFill>
        </w:rPr>
        <w:t xml:space="preserve">电子与纸质内容需完全相同</w:t>
      </w:r>
      <w:r>
        <w:rPr>
          <w:color w:val="000000" w:themeColor="text1"/>
          <w14:textFill>
            <w14:solidFill>
              <w14:schemeClr w14:val="tx1"/>
            </w14:solidFill>
          </w14:textFill>
        </w:rPr>
        <w:t xml:space="preserve">）</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6</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管道巡查、</w:t>
      </w:r>
      <w:r>
        <w:rPr>
          <w:rFonts w:hint="eastAsia"/>
          <w:color w:val="000000" w:themeColor="text1"/>
          <w:lang w:val="en-US" w:eastAsia="zh-CN"/>
          <w14:textFill>
            <w14:solidFill>
              <w14:schemeClr w14:val="tx1"/>
            </w14:solidFill>
          </w14:textFill>
        </w:rPr>
        <w:t xml:space="preserve">检测、</w:t>
      </w:r>
      <w:r>
        <w:rPr>
          <w:rFonts w:hint="eastAsia"/>
          <w:color w:val="000000" w:themeColor="text1"/>
          <w14:textFill>
            <w14:solidFill>
              <w14:schemeClr w14:val="tx1"/>
            </w14:solidFill>
          </w14:textFill>
        </w:rPr>
        <w:t xml:space="preserve">养护、开井</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通淤</w:t>
      </w:r>
      <w:r>
        <w:rPr>
          <w:rFonts w:hint="eastAsia"/>
          <w:color w:val="000000" w:themeColor="text1"/>
          <w14:textFill>
            <w14:solidFill>
              <w14:schemeClr w14:val="tx1"/>
            </w14:solidFill>
          </w14:textFill>
        </w:rPr>
        <w:t xml:space="preserve">等</w:t>
      </w:r>
      <w:r>
        <w:rPr>
          <w:rFonts w:hint="eastAsia"/>
          <w:color w:val="000000" w:themeColor="text1"/>
          <w:lang w:val="en-US" w:eastAsia="zh-CN"/>
          <w14:textFill>
            <w14:solidFill>
              <w14:schemeClr w14:val="tx1"/>
            </w14:solidFill>
          </w14:textFill>
        </w:rPr>
        <w:t xml:space="preserve">视频</w:t>
      </w:r>
      <w:r>
        <w:rPr>
          <w:rFonts w:hint="eastAsia"/>
          <w:color w:val="000000" w:themeColor="text1"/>
          <w14:textFill>
            <w14:solidFill>
              <w14:schemeClr w14:val="tx1"/>
            </w14:solidFill>
          </w14:textFill>
        </w:rPr>
        <w:t xml:space="preserve">工作，需按照业主单位或上级部门要求在“</w:t>
      </w:r>
      <w:r>
        <w:rPr>
          <w:rFonts w:hint="eastAsia"/>
          <w:color w:val="000000" w:themeColor="text1"/>
          <w:lang w:val="en-US" w:eastAsia="zh-CN"/>
          <w14:textFill>
            <w14:solidFill>
              <w14:schemeClr w14:val="tx1"/>
            </w14:solidFill>
          </w14:textFill>
        </w:rPr>
        <w:t xml:space="preserve">城市生命线</w:t>
      </w:r>
      <w:r>
        <w:rPr>
          <w:rFonts w:hint="eastAsia"/>
          <w:color w:val="000000" w:themeColor="text1"/>
          <w14:textFill>
            <w14:solidFill>
              <w14:schemeClr w14:val="tx1"/>
            </w14:solidFill>
          </w14:textFill>
        </w:rPr>
        <w:t xml:space="preserve">”监管平台进行记录。</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2、质量要求</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(1)市政设施的养护维修质量必须达到以下规范的要求：</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1.1、《城镇道路养护技术规范》 (CJJ36-2016)；</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1.2、《城镇道路工程施工与质量验收规范》 (CJJ1-2008)；</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1.3、《城市桥梁工程施工与质量验收规范》 (CJJ2-2008)；</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1.4、《给水排水管道工程施工及验收规范》 (GB50268-2008)；</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5</w:t>
      </w:r>
      <w:r>
        <w:rPr>
          <w:color w:val="000000" w:themeColor="text1"/>
          <w14:textFill>
            <w14:solidFill>
              <w14:schemeClr w14:val="tx1"/>
            </w14:solidFill>
          </w14:textFill>
        </w:rPr>
        <w:t xml:space="preserve">、《公路沥青路面施工技术规范》 (JTG F40-2004)；</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6</w:t>
      </w:r>
      <w:r>
        <w:rPr>
          <w:color w:val="000000" w:themeColor="text1"/>
          <w14:textFill>
            <w14:solidFill>
              <w14:schemeClr w14:val="tx1"/>
            </w14:solidFill>
          </w14:textFill>
        </w:rPr>
        <w:t xml:space="preserve">、《市政道路工程水泥稳定粒料基层质量评定标准》 (DBJ13-48-2003)；</w:t>
      </w:r>
      <w:r/>
    </w:p>
    <w:p>
      <w:pPr>
        <w:ind w:firstLine="420"/>
        <w:keepLines w:val="0"/>
        <w:keepNext w:val="0"/>
        <w:pageBreakBefore w:val="0"/>
        <w:spacing w:line="348" w:lineRule="auto"/>
        <w:widowControl w:val="off"/>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7</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《城市道路工程技术规范》（GB 51286-2018）</w:t>
      </w:r>
      <w:r/>
    </w:p>
    <w:p>
      <w:pPr>
        <w:ind w:firstLine="420"/>
        <w:keepLines w:val="0"/>
        <w:keepNext w:val="0"/>
        <w:pageBreakBefore w:val="0"/>
        <w:spacing w:line="348" w:lineRule="auto"/>
        <w:widowControl w:val="off"/>
        <w:rPr>
          <w:rFonts w:hint="eastAsia" w:eastAsia="宋体"/>
          <w:color w:val="000000" w:themeColor="text1"/>
          <w:lang w:eastAsia="zh-CN"/>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8</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《城市道路工程设计规范（2016 年版）》（CJJ 37-2012）</w:t>
      </w:r>
      <w:r>
        <w:rPr>
          <w:rFonts w:hint="eastAsia"/>
          <w:color w:val="000000" w:themeColor="text1"/>
          <w:lang w:eastAsia="zh-CN"/>
          <w14:textFill>
            <w14:solidFill>
              <w14:schemeClr w14:val="tx1"/>
            </w14:solidFill>
          </w14:textFill>
        </w:rPr>
        <w:t xml:space="preserve">、</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雨水管网</w:t>
      </w:r>
      <w:r>
        <w:rPr>
          <w:color w:val="000000" w:themeColor="text1"/>
          <w14:textFill>
            <w14:solidFill>
              <w14:schemeClr w14:val="tx1"/>
            </w14:solidFill>
          </w14:textFill>
        </w:rPr>
        <w:t xml:space="preserve">的养护维修质量必须达到以下规范的要求：</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1</w:t>
      </w:r>
      <w:r>
        <w:rPr>
          <w:color w:val="000000" w:themeColor="text1"/>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按照《</w:t>
      </w:r>
      <w:r>
        <w:rPr>
          <w:rFonts w:hint="eastAsia" w:cs="Times New Roman"/>
          <w:color w:val="000000" w:themeColor="text1"/>
          <w:sz w:val="21"/>
          <w:szCs w:val="21"/>
          <w:lang w:val="en-US" w:eastAsia="zh-CN" w:bidi="ar-SA"/>
          <w14:textFill>
            <w14:solidFill>
              <w14:schemeClr w14:val="tx1"/>
            </w14:solidFill>
          </w14:textFill>
        </w:rPr>
        <w:t xml:space="preserve">城镇排水管道检测与评估技术规程</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》（CJJ</w:t>
      </w:r>
      <w:r>
        <w:rPr>
          <w:rFonts w:hint="eastAsia" w:cs="Times New Roman"/>
          <w:color w:val="000000" w:themeColor="text1"/>
          <w:sz w:val="21"/>
          <w:szCs w:val="21"/>
          <w:lang w:val="en-US" w:eastAsia="zh-CN" w:bidi="ar-SA"/>
          <w14:textFill>
            <w14:solidFill>
              <w14:schemeClr w14:val="tx1"/>
            </w14:solidFill>
          </w14:textFill>
        </w:rPr>
        <w:t xml:space="preserve">181</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w:t>
      </w:r>
      <w:r>
        <w:rPr>
          <w:rFonts w:hint="eastAsia" w:cs="Times New Roman"/>
          <w:color w:val="000000" w:themeColor="text1"/>
          <w:sz w:val="21"/>
          <w:szCs w:val="21"/>
          <w:lang w:val="en-US" w:eastAsia="zh-CN" w:bidi="ar-SA"/>
          <w14:textFill>
            <w14:solidFill>
              <w14:schemeClr w14:val="tx1"/>
            </w14:solidFill>
          </w14:textFill>
        </w:rPr>
        <w:t xml:space="preserve">2012</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）要求，完成雨水井的疏挖，对雨</w:t>
      </w:r>
      <w:r>
        <w:rPr>
          <w:rFonts w:hint="eastAsia" w:cs="Times New Roman"/>
          <w:color w:val="000000" w:themeColor="text1"/>
          <w:sz w:val="21"/>
          <w:szCs w:val="21"/>
          <w:lang w:val="en-US" w:eastAsia="zh-CN" w:bidi="ar-SA"/>
          <w14:textFill>
            <w14:solidFill>
              <w14:schemeClr w14:val="tx1"/>
            </w14:solidFill>
          </w14:textFill>
        </w:rPr>
        <w:t xml:space="preserve">水</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管和支管清通养护，清除淤泥和各种垃圾，保证雨水管道畅通，出具影像报告（CCTV或QV）及书面报告，</w:t>
      </w: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5标段（180KM）雨水管网疏通、检测的长度第一年不得少于60%，第二年不得少于40%；6标段（120KM）雨水管网疏通、检测的长度第一年不得少于60%，第二年不得少于40%；针对排查发现重大问题：设计提出排查整改方案，最终设计成果需有相应资质条件的单位出具报告</w:t>
      </w:r>
      <w:r>
        <w:rPr>
          <w:rFonts w:hint="eastAsia" w:cs="Times New Roman"/>
          <w:color w:val="000000" w:themeColor="text1"/>
          <w:sz w:val="21"/>
          <w:szCs w:val="21"/>
          <w:lang w:val="en-US" w:eastAsia="zh-CN" w:bidi="ar-SA"/>
          <w14:textFill>
            <w14:solidFill>
              <w14:schemeClr w14:val="tx1"/>
            </w14:solidFill>
          </w14:textFill>
        </w:rPr>
        <w:t xml:space="preserve">和竣工图</w:t>
      </w: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color w:val="000000" w:themeColor="text1"/>
          <w14:textFill>
            <w14:solidFill>
              <w14:schemeClr w14:val="tx1"/>
            </w14:solidFill>
          </w14:textFill>
        </w:rPr>
        <w:t xml:space="preserve">)、法律法规要求的其他相关规范标准。</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①</w:t>
      </w:r>
      <w:r>
        <w:rPr>
          <w:color w:val="000000" w:themeColor="text1"/>
          <w14:textFill>
            <w14:solidFill>
              <w14:schemeClr w14:val="tx1"/>
            </w14:solidFill>
          </w14:textFill>
        </w:rPr>
        <w:t xml:space="preserve">修复、更换的道路、人行道及其附属设施、排水及其地下管线设施应平整通畅满足功能需要，不得有严重凹凸、积水等缺陷；</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②</w:t>
      </w:r>
      <w:r>
        <w:rPr>
          <w:color w:val="000000" w:themeColor="text1"/>
          <w14:textFill>
            <w14:solidFill>
              <w14:schemeClr w14:val="tx1"/>
            </w14:solidFill>
          </w14:textFill>
        </w:rPr>
        <w:t xml:space="preserve">需要浇筑混凝土或混凝土基础的要符合强度要求，沥青路面厚度、强度符合原道路设计要求；维修沥青路面、人行道、窨井等设施材质与原路面材质保持一致。</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③</w:t>
      </w:r>
      <w:r>
        <w:rPr>
          <w:color w:val="000000" w:themeColor="text1"/>
          <w14:textFill>
            <w14:solidFill>
              <w14:schemeClr w14:val="tx1"/>
            </w14:solidFill>
          </w14:textFill>
        </w:rPr>
        <w:t xml:space="preserve">所有维修更换工程都要拍照片，每一个点不得少于 3张照片(维修前、维修中、维修后)。</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（三）、</w:t>
      </w:r>
      <w:r>
        <w:rPr>
          <w:color w:val="000000" w:themeColor="text1"/>
          <w14:textFill>
            <w14:solidFill>
              <w14:schemeClr w14:val="tx1"/>
            </w14:solidFill>
          </w14:textFill>
        </w:rPr>
        <w:t xml:space="preserve">安全要求</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1、按照现行国家、省、市最新的城市道路养护安全作业规程执行，严格遵守工程建设安全生产的有关规定，严格按照安全标准施工，采取必要的安全防护措施并对施工人员进行安全生产教育和管理；健全组织制度，指定主要领导负责安全工作，确保作业人员和车辆、设备的安全，每个施工队队长为安全员，负责日常安全的督导。</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2、施工现场要求配戴显著标记的安全员，负责现场安全组织协调工作，接受交警、路政、工程管理人员对现场存在问题的询问和纠正指导。遇有紧急情况</w:t>
      </w:r>
      <w:r>
        <w:rPr>
          <w:rFonts w:hint="eastAsia"/>
          <w:color w:val="000000" w:themeColor="text1"/>
          <w:lang w:eastAsia="zh-CN"/>
          <w14:textFill>
            <w14:solidFill>
              <w14:schemeClr w14:val="tx1"/>
            </w14:solidFill>
          </w14:textFill>
        </w:rPr>
        <w:t xml:space="preserve">采购人</w:t>
      </w:r>
      <w:r>
        <w:rPr>
          <w:color w:val="000000" w:themeColor="text1"/>
          <w14:textFill>
            <w14:solidFill>
              <w14:schemeClr w14:val="tx1"/>
            </w14:solidFill>
          </w14:textFill>
        </w:rPr>
        <w:t xml:space="preserve">与中标人安全联络员联系安全联络员应及时将信息传达到施工现场。特殊情况：雪天、雾天不得上路作业。</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rPr>
          <w:color w:val="000000" w:themeColor="text1"/>
          <w14:textFill>
            <w14:solidFill>
              <w14:schemeClr w14:val="tx1"/>
            </w14:solidFill>
          </w14:textFill>
        </w:rPr>
        <w:t xml:space="preserve">上路作业应按规定办理相关手续，并服从交警、路政部门的管理；作业人员须穿着统一的标志服在作业封闭区内作业，严禁随意穿越车道</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在作业封闭区内的车辆和设备应按要求设置安全标志并开启黄色警示灯和双跳灯；运输车辆进出作业封闭区应遵守现场管理人员指挥，严禁私自开启中央分隔带开口调头；白天滞留在道路上的施工设备应及时撤离。在施工过程个发生的任何交通、生产事故造成财产损失或人员伤亡的，以及与其他第三方发生的任何纠纷或事故，</w:t>
      </w:r>
      <w:r>
        <w:rPr>
          <w:rFonts w:hint="eastAsia"/>
          <w:color w:val="000000" w:themeColor="text1"/>
          <w:lang w:eastAsia="zh-CN"/>
          <w14:textFill>
            <w14:solidFill>
              <w14:schemeClr w14:val="tx1"/>
            </w14:solidFill>
          </w14:textFill>
        </w:rPr>
        <w:t xml:space="preserve">采购人</w:t>
      </w:r>
      <w:r>
        <w:rPr>
          <w:color w:val="000000" w:themeColor="text1"/>
          <w14:textFill>
            <w14:solidFill>
              <w14:schemeClr w14:val="tx1"/>
            </w14:solidFill>
          </w14:textFill>
        </w:rPr>
        <w:t xml:space="preserve">概不承担任何责任和费用。</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4、施工方应在整个施工期间对其为本工程工作的人员投保意外伤害险；还应为其为完成本工程的设备、车辆购买财产保险，其投保金额应足以现场重置。办理保险的一切费用均由施工方承担，并已包括在工程量单价及总额价中。</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5、遵守《城市道路管理条例》的有关规定，服从交警、路政部门的管理，自觉保护道路路产；遵守地方政府和有关部门对施工场地交通和施工噪音等管理规定。</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t xml:space="preserve">6、施工方要加强施工过程控制，健全质量、环境等制度， 指定主要领导负责相关工作，并不得污染环境。</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7、严格遵守《城镇排水管道维护安全技术规程》（CJJ6）的规定，配备气体检测、围挡等设备，保障排水管道养护人员的作业安全和身体健康。</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8、疏挖过程中不得损坏原有雨水管道及其附属设施。完工后不遗留作业工具，路面不得残留污泥等垃圾。疏挖工具放置及移动应保证道路交通及行人安全。</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9、作业过程中，所有施工人员必须穿戴统一要求的反光马甲和安全帽，作业范围边界应有人在现场监护或设置安全锥及安全警示灯，有专人维护现场交通，上岗前需进行安全教育。</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10、下井作业需按照规范要求填写下井作业单，井下作业时，必须进行连续气体检测，符合安全规定要求才可下井。井上监护人员不得少于两人；进入管道内作业时，应设置专人呼应和监护，监护人员严禁擅离职守，下井人员连续作业时间不得超过1h。井下作业时，应使用隔离式防毒面具，不应使用过滤式防毒面具和半隔离式防毒面具以及氧气呼吸设备。安全带应采用悬挂双背带式安全带。</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11、针对井内淤泥类型不同，必须配备齐全各类便于疏挖的工具，确保能够疏挖干净。</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12、疏挖作业中拍摄前后对比照片及井位编号，不得跳井疏通。</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13、专业潜水人员对管道实施气囊封堵</w:t>
      </w:r>
      <w:r/>
    </w:p>
    <w:p>
      <w:p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1）管道封堵前应进行管壁清理，彻底清除作业范围内的管壁所附着污垢及底部所积淤泥、垃圾，确保封气囊及内壁粘结牢固。</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2）下井所用的扶梯放置必须牢固可靠，并由井上辅助人员扶稳，潜水人员必须严格按照要求穿戴齐全潜水防护设备。</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（四）、</w:t>
      </w:r>
      <w:r>
        <w:rPr>
          <w:color w:val="000000" w:themeColor="text1"/>
          <w14:textFill>
            <w14:solidFill>
              <w14:schemeClr w14:val="tx1"/>
            </w14:solidFill>
          </w14:textFill>
        </w:rPr>
        <w:t xml:space="preserve">日常养护要求：</w:t>
      </w:r>
      <w:r/>
    </w:p>
    <w:p>
      <w:pPr>
        <w:ind w:firstLine="420"/>
        <w:keepLines w:val="0"/>
        <w:keepNext w:val="0"/>
        <w:pageBreakBefore w:val="0"/>
        <w:spacing w:line="348" w:lineRule="auto"/>
        <w:widowControl w:val="off"/>
        <w:rPr>
          <w:rFonts w:hint="eastAsia"/>
          <w:color w:val="000000" w:themeColor="text1"/>
          <w:lang w:eastAsia="zh-CN"/>
          <w14:textFill>
            <w14:solidFill>
              <w14:schemeClr w14:val="tx1"/>
            </w14:solidFill>
          </w14:textFill>
        </w:rPr>
      </w:pPr>
      <w:r>
        <w:rPr>
          <w:color w:val="000000" w:themeColor="text1"/>
          <w14:textFill>
            <w14:solidFill>
              <w14:schemeClr w14:val="tx1"/>
            </w14:solidFill>
          </w14:textFill>
        </w:rPr>
        <w:t xml:space="preserve">1、</w:t>
      </w:r>
      <w:r>
        <w:rPr>
          <w:rFonts w:hint="eastAsia" w:eastAsia="宋体" w:cs="Times New Roman"/>
          <w:color w:val="000000" w:themeColor="text1"/>
          <w:lang w:eastAsia="zh-CN"/>
          <w14:textFill>
            <w14:solidFill>
              <w14:schemeClr w14:val="tx1"/>
            </w14:solidFill>
          </w14:textFill>
        </w:rPr>
        <w:t xml:space="preserve">所有标段每</w:t>
      </w:r>
      <w:r>
        <w:rPr>
          <w:rFonts w:hint="eastAsia" w:cs="Times New Roman"/>
          <w:color w:val="000000" w:themeColor="text1"/>
          <w:lang w:val="en-US" w:eastAsia="zh-CN"/>
          <w14:textFill>
            <w14:solidFill>
              <w14:schemeClr w14:val="tx1"/>
            </w14:solidFill>
          </w14:textFill>
        </w:rPr>
        <w:t xml:space="preserve">日</w:t>
      </w:r>
      <w:r>
        <w:rPr>
          <w:rFonts w:hint="eastAsia" w:eastAsia="宋体" w:cs="Times New Roman"/>
          <w:color w:val="000000" w:themeColor="text1"/>
          <w:lang w:eastAsia="zh-CN"/>
          <w14:textFill>
            <w14:solidFill>
              <w14:schemeClr w14:val="tx1"/>
            </w14:solidFill>
          </w14:textFill>
        </w:rPr>
        <w:t xml:space="preserve">巡查</w:t>
      </w:r>
      <w:r>
        <w:rPr>
          <w:rFonts w:hint="eastAsia" w:cs="Times New Roman"/>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（特殊情况除外）</w:t>
      </w:r>
      <w:r>
        <w:rPr>
          <w:rFonts w:hint="eastAsia" w:cs="Times New Roman"/>
          <w:color w:val="000000" w:themeColor="text1"/>
          <w:lang w:val="en-US" w:eastAsia="zh-CN"/>
          <w14:textFill>
            <w14:solidFill>
              <w14:schemeClr w14:val="tx1"/>
            </w14:solidFill>
          </w14:textFill>
        </w:rPr>
        <w:t xml:space="preserve">并填写巡查点位表；每旬提供</w:t>
      </w:r>
      <w:r>
        <w:rPr>
          <w:rFonts w:hint="eastAsia" w:eastAsia="宋体" w:cs="Times New Roman"/>
          <w:color w:val="000000" w:themeColor="text1"/>
          <w:lang w:eastAsia="zh-CN"/>
          <w14:textFill>
            <w14:solidFill>
              <w14:schemeClr w14:val="tx1"/>
            </w14:solidFill>
          </w14:textFill>
        </w:rPr>
        <w:t xml:space="preserve">巡查现场照片</w:t>
      </w:r>
      <w:r>
        <w:rPr>
          <w:color w:val="000000" w:themeColor="text1"/>
          <w14:textFill>
            <w14:solidFill>
              <w14:schemeClr w14:val="tx1"/>
            </w14:solidFill>
          </w14:textFill>
        </w:rPr>
        <w:t xml:space="preserve">。</w:t>
      </w:r>
      <w:r>
        <w:rPr>
          <w:rFonts w:hint="eastAsia" w:cs="Times New Roman"/>
          <w:color w:val="000000" w:themeColor="text1"/>
          <w:lang w:val="en-US" w:eastAsia="zh-CN"/>
          <w14:textFill>
            <w14:solidFill>
              <w14:schemeClr w14:val="tx1"/>
            </w14:solidFill>
          </w14:textFill>
        </w:rPr>
        <w:t xml:space="preserve">采购包</w:t>
      </w:r>
      <w:r>
        <w:rPr>
          <w:rFonts w:hint="eastAsia"/>
          <w:color w:val="000000" w:themeColor="text1"/>
          <w:lang w:val="en-US" w:eastAsia="zh-CN"/>
          <w14:textFill>
            <w14:solidFill>
              <w14:schemeClr w14:val="tx1"/>
            </w14:solidFill>
          </w14:textFill>
        </w:rPr>
        <w:t xml:space="preserve">一、二、三、四标段</w:t>
      </w:r>
      <w:r>
        <w:rPr>
          <w:color w:val="000000" w:themeColor="text1"/>
          <w14:textFill>
            <w14:solidFill>
              <w14:schemeClr w14:val="tx1"/>
            </w14:solidFill>
          </w14:textFill>
        </w:rPr>
        <w:t xml:space="preserve">巡查须配备一辆巡逻车、一辆非机动车，至少两名巡查人员(其中一名须为市政专业的技术人员)。</w:t>
      </w:r>
      <w:r>
        <w:rPr>
          <w:rFonts w:hint="eastAsia" w:cs="Times New Roman"/>
          <w:color w:val="000000" w:themeColor="text1"/>
          <w:lang w:val="en-US" w:eastAsia="zh-CN"/>
          <w14:textFill>
            <w14:solidFill>
              <w14:schemeClr w14:val="tx1"/>
            </w14:solidFill>
          </w14:textFill>
        </w:rPr>
        <w:t xml:space="preserve">采购包</w:t>
      </w:r>
      <w:r>
        <w:rPr>
          <w:rFonts w:hint="eastAsia"/>
          <w:color w:val="000000" w:themeColor="text1"/>
          <w:lang w:val="en-US" w:eastAsia="zh-CN"/>
          <w14:textFill>
            <w14:solidFill>
              <w14:schemeClr w14:val="tx1"/>
            </w14:solidFill>
          </w14:textFill>
        </w:rPr>
        <w:t xml:space="preserve">五</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六标段按要求使用检测设备检测雨水管长度，</w:t>
      </w:r>
      <w:r>
        <w:rPr>
          <w:rFonts w:hint="eastAsia" w:cs="Times New Roman"/>
          <w:color w:val="000000" w:themeColor="text1"/>
          <w:lang w:val="en-US" w:eastAsia="zh-CN"/>
          <w14:textFill>
            <w14:solidFill>
              <w14:schemeClr w14:val="tx1"/>
            </w14:solidFill>
          </w14:textFill>
        </w:rPr>
        <w:t xml:space="preserve">采购包</w:t>
      </w:r>
      <w:r>
        <w:rPr>
          <w:rFonts w:hint="eastAsia"/>
          <w:color w:val="000000" w:themeColor="text1"/>
          <w:lang w:val="en-US" w:eastAsia="zh-CN"/>
          <w14:textFill>
            <w14:solidFill>
              <w14:schemeClr w14:val="tx1"/>
            </w14:solidFill>
          </w14:textFill>
        </w:rPr>
        <w:t xml:space="preserve">七</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八</w:t>
      </w:r>
      <w:r>
        <w:rPr>
          <w:color w:val="000000" w:themeColor="text1"/>
          <w14:textFill>
            <w14:solidFill>
              <w14:schemeClr w14:val="tx1"/>
            </w14:solidFill>
          </w14:textFill>
        </w:rPr>
        <w:t xml:space="preserve">标段巡查人员须为交通专业的技术人员</w:t>
      </w:r>
      <w:r>
        <w:rPr>
          <w:rFonts w:hint="eastAsia"/>
          <w:color w:val="000000" w:themeColor="text1"/>
          <w:lang w:eastAsia="zh-CN"/>
          <w14:textFill>
            <w14:solidFill>
              <w14:schemeClr w14:val="tx1"/>
            </w14:solidFill>
          </w14:textFill>
        </w:rPr>
        <w:t xml:space="preserve">。</w:t>
      </w:r>
      <w:r/>
    </w:p>
    <w:p>
      <w:pPr>
        <w:ind w:firstLine="420"/>
        <w:keepLines w:val="0"/>
        <w:keepNext w:val="0"/>
        <w:pageBreakBefore w:val="0"/>
        <w:spacing w:line="348" w:lineRule="auto"/>
        <w:widowControl w:val="off"/>
        <w:rPr>
          <w:rFonts w:hint="eastAsia"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 xml:space="preserve">2、雨水管道：疏通，通沟，水冲沟管，清捞，污泥外运，巡视检查等；雨水连通支管：疏通，通沟，水冲沟管，清捞，污泥外运，巡视检查等；雨水管道窨井：清捞窨井，污泥外运，巡视检查等。</w:t>
      </w:r>
      <w:r/>
    </w:p>
    <w:p>
      <w:pPr>
        <w:ind w:firstLine="420"/>
        <w:keepLines w:val="0"/>
        <w:keepNext w:val="0"/>
        <w:pageBreakBefore w:val="0"/>
        <w:spacing w:line="348" w:lineRule="auto"/>
        <w:widowControl w:val="off"/>
        <w:rPr>
          <w:rFonts w:hint="eastAsia"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 xml:space="preserve">3、每月月底前，须报送上月养护完成情况和下月养护计划，提供上月所有完成管段自检情况，所有材料均须书面盖章。（养护自检的工作量，不重复计入功能性检测和结构性检测）</w:t>
      </w:r>
      <w:r/>
    </w:p>
    <w:p>
      <w:pPr>
        <w:ind w:firstLine="420"/>
        <w:keepLines w:val="0"/>
        <w:keepNext w:val="0"/>
        <w:pageBreakBefore w:val="0"/>
        <w:spacing w:line="348" w:lineRule="auto"/>
        <w:widowControl w:val="off"/>
        <w:rPr>
          <w:rFonts w:hint="eastAsia"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 xml:space="preserve">4、做好养护范围检查井和雨水口开井作业，频次不少于半年 1 次，所有开井均须留下照片，并按道路整理归档。在 5 月底前完成第一次开井调查，11月底前完成第二次开井调查，调查过程中配合做好排水单位接入信息调查登记工作，所有工作均须留下照片，对相关情况分类并整理上报。</w:t>
      </w:r>
      <w:r/>
    </w:p>
    <w:p>
      <w:pPr>
        <w:ind w:firstLine="420"/>
        <w:keepLines w:val="0"/>
        <w:keepNext w:val="0"/>
        <w:pageBreakBefore w:val="0"/>
        <w:spacing w:line="348" w:lineRule="auto"/>
        <w:widowControl w:val="off"/>
        <w:rPr>
          <w:rFonts w:hint="eastAsia"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 xml:space="preserve">5、对养护区内管网设施巡视巡查，及时发私自接管、水质异常、淤积严重、破坏设施等情况，对相关问题进行上报，并配合业主单位对涉及排水用户进行督促整改。</w:t>
      </w:r>
      <w:r/>
    </w:p>
    <w:p>
      <w:pPr>
        <w:ind w:firstLine="420"/>
        <w:keepLines w:val="0"/>
        <w:keepNext w:val="0"/>
        <w:pageBreakBefore w:val="0"/>
        <w:spacing w:line="348" w:lineRule="auto"/>
        <w:widowControl w:val="off"/>
        <w:rPr>
          <w:rFonts w:hint="eastAsia"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 xml:space="preserve">6、管道检测报告书面材料均须盖章，电子版须提供 U 盘（或 TF 卡）、加密网盘等（非光盘）。检测报告材料须符合《排水管道电视和声纳检测评估技术规程》（DB31/T444-2022）要求。</w:t>
      </w:r>
      <w:r/>
    </w:p>
    <w:p>
      <w:p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7</w:t>
      </w:r>
      <w:r>
        <w:rPr>
          <w:color w:val="000000" w:themeColor="text1"/>
          <w14:textFill>
            <w14:solidFill>
              <w14:schemeClr w14:val="tx1"/>
            </w14:solidFill>
          </w14:textFill>
        </w:rPr>
        <w:t xml:space="preserve"> 、日常巡视，发现道路、人行道、桥梁、管线及其他道路附属设施出现人为损坏， 应上前制止并报告甲方市政部门，配合甲方积极处理；出现自然损坏应及时报告甲方市政部门，市政部门通过派单制安排维修任务，养护单位根据甲方要求进行修补。</w:t>
      </w:r>
      <w:r/>
    </w:p>
    <w:p>
      <w:pPr>
        <w:numPr>
          <w:ilvl w:val="0"/>
          <w:numId w:val="0"/>
        </w:num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8、</w:t>
      </w:r>
      <w:r>
        <w:rPr>
          <w:color w:val="000000" w:themeColor="text1"/>
          <w14:textFill>
            <w14:solidFill>
              <w14:schemeClr w14:val="tx1"/>
            </w14:solidFill>
          </w14:textFill>
        </w:rPr>
        <w:t xml:space="preserve">偷盗设施如发现肇事者，则由养护单位协同甲方、公安部门处理解决，损坏后维持原样的修复费用由肇事者承担；如未发现肇事者，则由养护单位协同甲方解决，损坏后维持原样的修复费用另行结算，此部分费用支付以采购人或采购人委托的第三方机构审核为准。</w:t>
      </w:r>
      <w:r/>
    </w:p>
    <w:p>
      <w:pPr>
        <w:numPr>
          <w:ilvl w:val="0"/>
          <w:numId w:val="0"/>
        </w:numPr>
        <w:ind w:firstLine="420"/>
        <w:keepLines w:val="0"/>
        <w:keepNext w:val="0"/>
        <w:pageBreakBefore w:val="0"/>
        <w:spacing w:line="348" w:lineRule="auto"/>
        <w:widowControl w:val="off"/>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9、</w:t>
      </w:r>
      <w:r>
        <w:rPr>
          <w:rFonts w:hint="eastAsia"/>
          <w:color w:val="000000" w:themeColor="text1"/>
          <w14:textFill>
            <w14:solidFill>
              <w14:schemeClr w14:val="tx1"/>
            </w14:solidFill>
          </w14:textFill>
        </w:rPr>
        <w:t xml:space="preserve">污泥处理需符合国家和本</w:t>
      </w:r>
      <w:r>
        <w:rPr>
          <w:rFonts w:hint="eastAsia"/>
          <w:color w:val="000000" w:themeColor="text1"/>
          <w:lang w:val="en-US" w:eastAsia="zh-CN"/>
          <w14:textFill>
            <w14:solidFill>
              <w14:schemeClr w14:val="tx1"/>
            </w14:solidFill>
          </w14:textFill>
        </w:rPr>
        <w:t xml:space="preserve">市、区</w:t>
      </w:r>
      <w:r>
        <w:rPr>
          <w:rFonts w:hint="eastAsia"/>
          <w:color w:val="000000" w:themeColor="text1"/>
          <w14:textFill>
            <w14:solidFill>
              <w14:schemeClr w14:val="tx1"/>
            </w14:solidFill>
          </w14:textFill>
        </w:rPr>
        <w:t xml:space="preserve">相关规范要求</w:t>
      </w:r>
      <w:r>
        <w:rPr>
          <w:rFonts w:hint="eastAsia"/>
          <w:color w:val="000000" w:themeColor="text1"/>
          <w:lang w:eastAsia="zh-CN"/>
          <w14:textFill>
            <w14:solidFill>
              <w14:schemeClr w14:val="tx1"/>
            </w14:solidFill>
          </w14:textFill>
        </w:rPr>
        <w:t xml:space="preserve">。</w:t>
      </w:r>
      <w:r/>
    </w:p>
    <w:p>
      <w:pPr>
        <w:numPr>
          <w:ilvl w:val="0"/>
          <w:numId w:val="0"/>
        </w:numPr>
        <w:ind w:firstLine="420"/>
        <w:keepLines w:val="0"/>
        <w:keepNext w:val="0"/>
        <w:pageBreakBefore w:val="0"/>
        <w:spacing w:line="348"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（五）防汛抢险要求</w:t>
      </w:r>
      <w:r/>
    </w:p>
    <w:p>
      <w:pPr>
        <w:numPr>
          <w:ilvl w:val="0"/>
          <w:numId w:val="0"/>
        </w:numPr>
        <w:ind w:firstLine="420"/>
        <w:keepLines w:val="0"/>
        <w:keepNext w:val="0"/>
        <w:pageBreakBefore w:val="0"/>
        <w:spacing w:line="348"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按照排水行业和防汛应急预案要求，服从业主单位调度，调用防汛设施设备进行防汛排涝工作；</w:t>
      </w:r>
      <w:r>
        <w:rPr>
          <w:rFonts w:hint="eastAsia"/>
          <w:color w:val="000000" w:themeColor="text1"/>
          <w:lang w:val="en-US" w:eastAsia="zh-CN"/>
          <w14:textFill>
            <w14:solidFill>
              <w14:schemeClr w14:val="tx1"/>
            </w14:solidFill>
          </w14:textFill>
        </w:rPr>
        <w:t xml:space="preserve">养护</w:t>
      </w:r>
      <w:r>
        <w:rPr>
          <w:rFonts w:hint="eastAsia"/>
          <w:color w:val="000000" w:themeColor="text1"/>
          <w14:textFill>
            <w14:solidFill>
              <w14:schemeClr w14:val="tx1"/>
            </w14:solidFill>
          </w14:textFill>
        </w:rPr>
        <w:t xml:space="preserve">单位自行编制完善防汛应急抢险预案，接受应急抢险指令后，30分钟内做出响应，投入抢险。</w:t>
      </w:r>
      <w:r/>
    </w:p>
    <w:p>
      <w:pPr>
        <w:numPr>
          <w:ilvl w:val="0"/>
          <w:numId w:val="0"/>
        </w:numPr>
        <w:ind w:firstLine="420"/>
        <w:keepLines w:val="0"/>
        <w:keepNext w:val="0"/>
        <w:pageBreakBefore w:val="0"/>
        <w:spacing w:line="348"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落实汛期领导带班制度，</w:t>
      </w:r>
      <w:r>
        <w:rPr>
          <w:rFonts w:hint="eastAsia"/>
          <w:color w:val="000000" w:themeColor="text1"/>
          <w:lang w:val="en-US" w:eastAsia="zh-CN"/>
          <w14:textFill>
            <w14:solidFill>
              <w14:schemeClr w14:val="tx1"/>
            </w14:solidFill>
          </w14:textFill>
        </w:rPr>
        <w:t xml:space="preserve">养护</w:t>
      </w:r>
      <w:r>
        <w:rPr>
          <w:rFonts w:hint="eastAsia"/>
          <w:color w:val="000000" w:themeColor="text1"/>
          <w14:textFill>
            <w14:solidFill>
              <w14:schemeClr w14:val="tx1"/>
            </w14:solidFill>
          </w14:textFill>
        </w:rPr>
        <w:t xml:space="preserve">单位 24 小时值班制度；如遇积水，</w:t>
      </w:r>
      <w:r>
        <w:rPr>
          <w:rFonts w:hint="eastAsia"/>
          <w:color w:val="000000" w:themeColor="text1"/>
          <w:lang w:val="en-US" w:eastAsia="zh-CN"/>
          <w14:textFill>
            <w14:solidFill>
              <w14:schemeClr w14:val="tx1"/>
            </w14:solidFill>
          </w14:textFill>
        </w:rPr>
        <w:t xml:space="preserve">并报养护主管部门审核，按1小时内消除积水</w:t>
      </w:r>
      <w:r>
        <w:rPr>
          <w:rFonts w:hint="eastAsia"/>
          <w:color w:val="000000" w:themeColor="text1"/>
          <w14:textFill>
            <w14:solidFill>
              <w14:schemeClr w14:val="tx1"/>
            </w14:solidFill>
          </w14:textFill>
        </w:rPr>
        <w:t xml:space="preserve">；发布防汛防台黄色预警及以上，</w:t>
      </w:r>
      <w:r>
        <w:rPr>
          <w:rFonts w:hint="eastAsia"/>
          <w:color w:val="000000" w:themeColor="text1"/>
          <w:lang w:val="en-US" w:eastAsia="zh-CN"/>
          <w14:textFill>
            <w14:solidFill>
              <w14:schemeClr w14:val="tx1"/>
            </w14:solidFill>
          </w14:textFill>
        </w:rPr>
        <w:t xml:space="preserve">养护</w:t>
      </w:r>
      <w:r>
        <w:rPr>
          <w:rFonts w:hint="eastAsia"/>
          <w:color w:val="000000" w:themeColor="text1"/>
          <w14:textFill>
            <w14:solidFill>
              <w14:schemeClr w14:val="tx1"/>
            </w14:solidFill>
          </w14:textFill>
        </w:rPr>
        <w:t xml:space="preserve">单位相关负责人须至业主单位集中值班，协助开展抢险任务。</w:t>
      </w:r>
      <w:r/>
    </w:p>
    <w:p>
      <w:pPr>
        <w:numPr>
          <w:ilvl w:val="0"/>
          <w:numId w:val="0"/>
        </w:numPr>
        <w:ind w:firstLine="420"/>
        <w:keepLines w:val="0"/>
        <w:keepNext w:val="0"/>
        <w:pageBreakBefore w:val="0"/>
        <w:spacing w:line="348" w:lineRule="auto"/>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做好道路积水街面巡视、影像资料收集、信息统计报送工作；汛期，使用车辆进行巡查的，不另行计费。</w:t>
      </w:r>
      <w:r/>
    </w:p>
    <w:p>
      <w:pPr>
        <w:numPr>
          <w:ilvl w:val="0"/>
          <w:numId w:val="0"/>
        </w:numPr>
        <w:ind w:firstLine="420"/>
        <w:keepLines w:val="0"/>
        <w:keepNext w:val="0"/>
        <w:pageBreakBefore w:val="0"/>
        <w:spacing w:line="348" w:lineRule="auto"/>
        <w:widowControl w:val="off"/>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参与防汛应急演练（含车辆维修保养费、燃油费、通讯费等）。</w:t>
      </w:r>
      <w:r/>
    </w:p>
    <w:p>
      <w:pPr>
        <w:numPr>
          <w:ilvl w:val="0"/>
          <w:numId w:val="0"/>
        </w:numPr>
        <w:ind w:firstLine="420"/>
        <w:keepLines w:val="0"/>
        <w:keepNext w:val="0"/>
        <w:pageBreakBefore w:val="0"/>
        <w:spacing w:line="348" w:lineRule="auto"/>
        <w:widowControl w:val="off"/>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5、每年做好抢险预案演练。</w:t>
      </w:r>
      <w:r/>
    </w:p>
    <w:p>
      <w:pPr>
        <w:numPr>
          <w:ilvl w:val="0"/>
          <w:numId w:val="0"/>
        </w:numPr>
        <w:ind w:firstLine="420"/>
        <w:keepLines w:val="0"/>
        <w:keepNext w:val="0"/>
        <w:pageBreakBefore w:val="0"/>
        <w:spacing w:line="348" w:lineRule="auto"/>
        <w:widowControl w:val="off"/>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防汛应急抢险等按实际发生金额结算，结算时必须提供发票等相关凭证</w:t>
      </w:r>
      <w:r>
        <w:rPr>
          <w:rFonts w:hint="eastAsia"/>
          <w:color w:val="000000" w:themeColor="text1"/>
          <w:lang w:eastAsia="zh-CN"/>
          <w14:textFill>
            <w14:solidFill>
              <w14:schemeClr w14:val="tx1"/>
            </w14:solidFill>
          </w14:textFill>
        </w:rPr>
        <w:t xml:space="preserve">。</w:t>
      </w:r>
      <w:r/>
    </w:p>
    <w:p>
      <w:pPr>
        <w:numPr>
          <w:ilvl w:val="0"/>
          <w:numId w:val="0"/>
        </w:numPr>
        <w:ind w:firstLine="420"/>
        <w:keepLines w:val="0"/>
        <w:keepNext w:val="0"/>
        <w:pageBreakBefore w:val="0"/>
        <w:spacing w:line="348" w:lineRule="auto"/>
        <w:widowControl w:val="off"/>
        <w:rPr>
          <w:rFonts w:hint="eastAsia"/>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六</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地上作业施工要求</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一、</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隔离栏</w:t>
      </w:r>
      <w:r/>
    </w:p>
    <w:p>
      <w:pPr>
        <w:pStyle w:val="701"/>
        <w:ind w:firstLine="420"/>
        <w:keepLines w:val="0"/>
        <w:keepNext w:val="0"/>
        <w:pageBreakBefore w:val="0"/>
        <w:spacing w:line="348" w:lineRule="auto"/>
        <w:widowControl w:val="off"/>
        <w:rPr>
          <w:rFonts w:hint="eastAsia" w:ascii="Times New Roman" w:hAnsi="Times New Roman"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按清单要求。</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二、</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波形护栏板</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ff"/>
          <w:sz w:val="21"/>
          <w:szCs w:val="21"/>
          <w:lang w:val="en-US" w:eastAsia="zh-CN" w:bidi="ar-SA"/>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按清单要求。</w:t>
      </w:r>
      <w:r/>
    </w:p>
    <w:p>
      <w:pPr>
        <w:pStyle w:val="701"/>
        <w:numPr>
          <w:ilvl w:val="0"/>
          <w:numId w:val="0"/>
        </w:numPr>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三、</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警示桩</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按清单要求。</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四、</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防撞筒（墩）</w:t>
      </w:r>
      <w:r/>
    </w:p>
    <w:p>
      <w:pPr>
        <w:pStyle w:val="701"/>
        <w:ind w:firstLine="420"/>
        <w:keepLines w:val="0"/>
        <w:keepNext w:val="0"/>
        <w:pageBreakBefore w:val="0"/>
        <w:spacing w:line="348" w:lineRule="auto"/>
        <w:widowControl w:val="off"/>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按清单要求。</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五、</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减速带</w:t>
      </w:r>
      <w:r/>
    </w:p>
    <w:p>
      <w:pPr>
        <w:pStyle w:val="701"/>
        <w:ind w:firstLine="420"/>
        <w:keepLines w:val="0"/>
        <w:keepNext w:val="0"/>
        <w:pageBreakBefore w:val="0"/>
        <w:spacing w:line="348" w:lineRule="auto"/>
        <w:widowControl w:val="off"/>
        <w:rPr>
          <w:rFonts w:hint="default" w:ascii="Times New Roman" w:hAnsi="Times New Roman"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按清单要求。</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六、</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爆闪灯</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按清单要求。</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七、</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广角镜</w:t>
      </w:r>
      <w:r/>
    </w:p>
    <w:p>
      <w:pPr>
        <w:pStyle w:val="701"/>
        <w:ind w:firstLine="420"/>
        <w:keepLines w:val="0"/>
        <w:keepNext w:val="0"/>
        <w:pageBreakBefore w:val="0"/>
        <w:spacing w:line="348" w:lineRule="auto"/>
        <w:widowControl w:val="off"/>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bidi="ar-SA"/>
          <w14:textFill>
            <w14:solidFill>
              <w14:schemeClr w14:val="tx1"/>
            </w14:solidFill>
          </w14:textFill>
        </w:rPr>
        <w:t xml:space="preserve">按清单要求。</w:t>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r>
      <w:r/>
    </w:p>
    <w:p>
      <w:pPr>
        <w:pStyle w:val="702"/>
        <w:ind w:left="0" w:firstLine="0"/>
        <w:jc w:val="center"/>
        <w:keepLines w:val="0"/>
        <w:keepNext w:val="0"/>
        <w:pageBreakBefore w:val="0"/>
        <w:spacing w:after="0" w:line="360" w:lineRule="auto"/>
        <w:widowControl w:val="off"/>
        <w:rPr>
          <w:rFonts w:hAnsi="宋体" w:cs="宋体"/>
          <w:b/>
          <w:bCs/>
          <w:color w:val="000000" w:themeColor="text1"/>
          <w:sz w:val="28"/>
          <w:szCs w:val="28"/>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 xml:space="preserve">采购包七、八</w:t>
      </w:r>
      <w:r>
        <w:rPr>
          <w:rFonts w:hint="eastAsia" w:eastAsia="宋体"/>
          <w:b/>
          <w:bCs/>
          <w:color w:val="000000" w:themeColor="text1"/>
          <w:sz w:val="28"/>
          <w:szCs w:val="28"/>
          <w:lang w:val="en-US" w:eastAsia="zh-CN"/>
          <w14:textFill>
            <w14:solidFill>
              <w14:schemeClr w14:val="tx1"/>
            </w14:solidFill>
          </w14:textFill>
        </w:rPr>
        <w:t xml:space="preserve">标段</w:t>
      </w:r>
      <w:r>
        <w:rPr>
          <w:rFonts w:hint="eastAsia" w:hAnsi="宋体" w:cs="宋体"/>
          <w:b/>
          <w:bCs/>
          <w:color w:val="000000" w:themeColor="text1"/>
          <w:sz w:val="28"/>
          <w:szCs w:val="28"/>
          <w14:textFill>
            <w14:solidFill>
              <w14:schemeClr w14:val="tx1"/>
            </w14:solidFill>
          </w14:textFill>
        </w:rPr>
        <w:t xml:space="preserve">施工要求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一、标志、标牌、标线</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 道路交通标志和标线的分类、颜色、形状、线条、图形、尺寸，应符合《道路交通标志和标线》（GB 5768-2009）及《城市道路交通标志和标线设置规范》（GB 51038-2015）相应部分的规定。</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交通标志由标志底板，反光膜、支撑件和基础等组成。标志底板和支撑件选用的材料应具有轻质、高强、耐蚀、耐磨、刚度大等特点。标志底板、滑槽、立柱、横梁、法兰盘等大型构件。大型标志的板面结构宜采用挤压成型的铝合金板拼装面成。标志板背面可采用铝合金板原色。标志底板边缘宜进行卷边加固。标志底板应采用型钢或型铝等滑槽进行加固。</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标志立柱的断面尺寸、连接方式、基础大小等，应根据设置地点的风力、板面大小及支撑方式计算确定。各种标志立柱的埋设深度，根据板面承受外力的大小及地基的承载力计算确定。立柱的金属预埋件应进行防腐处理。交通标志立柱选用无缝钢管制作，钢柱应进行防腐处理，钢管顶端应加柱帽。钢制立柱、横梁、法兰盘及各种连接件可采用热浸镀锌。所有设施杆件需镀锌喷塑，颜色为白色。</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反光膜的逆反射性能应符合GB/T18833-2012的规定。警告、禁令、指示标志等图形标志宜选用逆反射性能好的材料；指路标志字膜的逆反射性能宜高于底膜的逆反射性能，字膜和底膜材料的使用年限宜一致。警告、禁令、指示标志等图形标志采用V类（大角度）反光膜。</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（1）、标志设置</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1、在满足规定的前置距离的情况下，不允许损坏道路结构和妨碍交通安全。</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2、应满足视认要求，避免照明设施、监控设施、电杆、行道树、绿化及路上构造物等对标志板面的遮挡。</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3、标志杆位置根据施工具体情况可在5m范围内作适当调整，若超出该范围，须经交警、甲方及设计三部门的同意。</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4、路侧式标志应尽量减少标志板面对驾驶员的眩光。路侧标志应尽可能与道路中线垂直或成一定角度。其中，禁令和指示标志为0°～45°；指路和警告标志为0°～10°；门架、悬臂、车行道上方附着式标志的板面应垂直于道路行车方向，并且板面宜倾斜0°～15°。</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5、标志立柱应保持垂直，其倾斜度不应大于立柱高度的0～1%，且不允许向车行道一侧倾斜。</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6、解除限制速度标志、解除禁止超车标志、路口优先通行标志、会车先行标志、会车让行标志、停车让行标志、减速让行标志应单独设置。一个支撑结构上最多不应超过两种标志。标志板在一个支撑结构上并设时应按禁令、指示、警告的顺序，先上后下，先左后右地排列。</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（2）、基础埋设</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施工前必须先开挖样洞，在确保其他管线安全运行的前提下，方可施工标志基础。基础一般采用现浇制作。基础顶面应预埋钢制底座法兰盘及地脚螺栓。在浇筑混凝土时，应注意使底座法兰盘与基础对中，并将其嵌进基础（其上表面与基础齐平）同时保持其顶而水平，设在人行道上的基础的顶</w:t>
      </w: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面标高应与人行道或绿化横标高一致基础周围的填土应夯实，表面应平整。基底法兰的边线应与侧石线（或车道边线）平行，地脚下部为标准弯钩，地脚螺栓宜事先进行热浸镀锌处理，预埋时其方向应与底座法兰盘保持垂直。施工时如果遇到平曲线路段，应注意调整预埋法兰盘的方向，使其纵向中心线与行车方向保持一致。标志安装时基础需经养护达到设计强度后，方可安装标志立柱。立柱通过法兰盘与基础连接。在拧紧螺栓前应调整好方向和垂直度。立柱安装好后，即可通过抱箍或不锈钢万能夹把标志固定在立柱上。标志板安装后应进行板面平整度调整和安装角度的调整。</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（3）标线</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1、热熔反光标线</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道路交通标线是由施划或安装于道路上的各种线条、箭头、文字、图案及立面标记、实体标记、突起路标和轮廓标等所构成的交通设施，它的作用是向道路使用者传递有关道路交通的规则、警告、指引等信息。</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车行道分界线</w:t>
      </w: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为白色虚线线宽为15cm。设计速度不小于60km/h的道路可跨越同向车行道分界线线段及间隔长分别为600cm和900cm；设计速度小于60km/h的道路，可跨越同向车行道分界线线段及间隔长分别为200cm和 400cm。车行道边缘线宽为20cm，实线用于指示禁止车辆跨越的车行道边缘或机非分界，虚线用以指示车辆可临时越线行聚的车行道边缘 虚线线段及间隔长分别为200cm和400cm。设计速度不大于40km/h的道路，导向箭头尺寸 4.5m；设计速度大于40km/h而小于100km/h的道路，导向箭头尺寸6m。</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交叉路口驶入段的导向车道内应有导向箭头标明各车道的行驶方向。距路门最近的第一组导向箭头在距停止线2m处设置，第二组在导向车道的起始位置设置，箭头起始端部与导向车道线起始端部平齐，第三组作为预告箭头，在距第二组箭头前30m~50m间隔设置预告箭头指示方向应与前方导向车道允许行驶方向保持一致。道路设计速度≤40km/h，导向箭头设置2组；道路设计速度40～100km/h，导向箭头设置3组。</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2、标线施工注意：</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1.交通标线的划法应符合国家和地方的有关规定，做到整齐、清晰、醒目、色泽与漆膜厚薄均匀、划漆线条流畅线性规则。</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2.交通标线材料应具有良好的耐磨性、防滑性和辨认性并按照规范采用符合要求的涂料。</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3.交通标线施工前要清洗地面，除净灰尘和泥土，然后按设计要求放样漆划。标线或底漆施划后，应放置锥形交通路标，待标线干燥后才能撤走。</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4.交通标线施工禁止在雨天和潮湿冰冻的路面上进行。热熔型涂料施工时气温不低于10℃。</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5.标线涂层厚度为1.8mm。</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6.撒布在标线涂层上的玻璃珠应分布均匀，其撒布量为0.3kg/m²~0.4g/m²。</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反光热熔涂料标线按照采购方要求的尺寸、地点施工，标线工程量验收按中标所报单价和实际施工面积计算（施工方提前计量、不超采购面积）。反光热熔涂料标线施工时施工方需主动提交热熔涂料的国家部级产品检验合格证与生产许可证给采购方。</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二、沿线安全设施养护人员、设备及材料要求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1、常年设一组巡查养护队伍（两辆车，每辆车配备2名巡查人员）；</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2、车辆、空压机、发电机及电焊机等设备要保持完好。</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3、材料要备足一个月库存，本项目的沿线设施材料要求参照《公路交通安全设施施工技术规范》(JTGF71—2017)实施。</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三、沿线安全设施养护时间及质量要求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l、及时性要求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(1)一般维修任务要求接到任务通知后8小时内完成；</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(2)加急维修任务要求接到任务通知后2小时内完成；</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(3)紧急抢修任务要求接到任务通知后立即赶赴现场（45分钟内到达）维修；</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(4)事前养护单位须将任务清单交由监理单位核实再报至管理部门；</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(5)施工结束后应及时报《盐城市大丰区道路交通安全设施维修结算表》至监理单位核实</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和跟踪审计单位计量</w:t>
      </w: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，再报至管理部门；</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(6)养护单位项目负责人需每月组织养护人员进行安全生产例会，并做好相关台账资料。</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2、质量要求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(1)安全设施的养护维修质量必须符合《公路工程质量检验评定标准》(JTGF80／l—2017)及其他有关工程养护技术规范；</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(2)修复、更换的护栏板和立柱需线型顺畅，表面色泽一致，外观不得有剥落、裂纹、疤痕和擦伤等缺陷。</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立柱更换的工作内容包括拔桩、插新桩，对护栏立柱进行维修时，断裂或歪斜严重的立柱必须更换，为使修复后的立柱达到要求的强度，路侧的立柱在换桩后都必须用水泥砂浆对桩基进行加固；</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(3)因更换立柱和标志设施等需要浇筑砼基础的要符合强度要求；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(4)标志标牌养护维修要规范、齐全、醒目、字迹清晰、夜间反光效果好，清洁、无锈蚀，无斜边和折角；标志标牌立柱要坚固、无歪斜、无锈蚀；</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(5)标线(含导向箭头、文字标记)等养护维修要规范、清晰、无连续剥落、具有良好的夜间反光效果；</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(6)护栏维修应完整、无破损、无歪斜；</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(7)所有维修工程都要拍照片，每一个点不得少于2张照片(维修前、维修后)。</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四、安全要求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1、按照《公路养护安全作业规程》(JGJH30—2015)执行。</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上路作业应按规定办理相关手续，并服从城管、交警等部门的管理；作业人员须穿着统一的标志服在作业封闭区内作业，严禁随意穿越车道；在作业封闭区内的车辆和设备应按要求设置安全标志，并开启黄色警示灯和双跳灯；运输车辆进出作业封闭区应遵守现场管理人员指挥，严禁私自开启中央分隔带开口调头。在施工过程个发生的任何交通、生产事故造成财产损失或人员伤亡的，以及与其他第三方发生的任何纠纷或事故，采购人概不承担任何责任和费用。</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养护单位应在整个施工期间对其为本工程工作的人员投保意外伤害险；还应为其为完成本工程的设备、车辆购买财产保险，其投保金额应足以现场重置。办理保险的一切费用均由养护单位承担，并已包括的工程量单价及总额价中。</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4、遵守《江苏省公路条例》《盐城市城市道路管理条例》的有关规定，服从城管、交警等部门的管理，自觉保护施工道路路产；遵守地方政府和有关部门对施工场地交通和施工噪音等管理规定。</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5、业主按照质量管理体系要求、环境管理体系要求、安康管理体系要求三项标准进行全面管理。为此养护单位道路清扫日常养护工作应按照业主三大体系标准要求，加强施工过程控制，健全质量、环境等制度，指定主要领导负责相关工作，并不得污染环境。</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五、日常养护要求：</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交通养护人员每日进行一次全面巡视与维护，并填写巡查点位表；每旬提供巡查照片；巡视须配备两辆巡逻车，且每辆车至少配两名工作人员。非巡查时间内，养护单位在接到业主维护通知后应在规定时间内到达现场维修。</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(一)交通标志养护</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1.日常巡视，发现标志有污损、腐蚀等情况，应及时清洗；</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2.对反光材料、油漆局部脱落，褪色的应修补或重漆；</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3.当道路情况、交通条件有变化时，应按业主要求进行相应的变更和增补；</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(二)交通标线养护</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路面标线磨损严重或脱落、影响辨认性能的标线在该路段中占一半以上时，应重新喷刷或修复，并注意避免与原标线错位，具体</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按业主要求进行相应施划除线（包含</w:t>
      </w: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道路分道标牌与地面线不一致的情形，进行地面标线的修改</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w:t>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pStyle w:val="701"/>
        <w:ind w:firstLine="420"/>
        <w:keepLines w:val="0"/>
        <w:keepNext w:val="0"/>
        <w:pageBreakBefore w:val="0"/>
        <w:spacing w:line="348" w:lineRule="auto"/>
        <w:widowControl w:val="off"/>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r>
      <w:r/>
    </w:p>
    <w:p>
      <w:pPr>
        <w:numPr>
          <w:ilvl w:val="0"/>
          <w:numId w:val="0"/>
        </w:numPr>
        <w:ind w:right="0"/>
        <w:jc w:val="center"/>
        <w:keepLines w:val="0"/>
        <w:keepNext w:val="0"/>
        <w:pageBreakBefore w:val="0"/>
        <w:spacing w:line="360" w:lineRule="auto"/>
        <w:rPr>
          <w:rFonts w:asciiTheme="majorEastAsia" w:hAnsiTheme="majorEastAsia" w:eastAsiaTheme="majorEastAsia"/>
          <w:color w:val="000000" w:themeColor="text1"/>
          <w:sz w:val="21"/>
          <w:szCs w:val="21"/>
          <w14:textFill>
            <w14:solidFill>
              <w14:schemeClr w14:val="tx1"/>
            </w14:solidFill>
          </w14:textFill>
        </w:rPr>
      </w:pPr>
      <w:r>
        <w:rPr>
          <w:rFonts w:hint="eastAsia" w:cs="黑体" w:asciiTheme="majorEastAsia" w:hAnsiTheme="majorEastAsia" w:eastAsiaTheme="majorEastAsia"/>
          <w:b/>
          <w:bCs/>
          <w:color w:val="000000" w:themeColor="text1"/>
          <w:sz w:val="36"/>
          <w:szCs w:val="36"/>
          <w:lang w:val="en-US" w:eastAsia="zh-CN"/>
          <w14:textFill>
            <w14:solidFill>
              <w14:schemeClr w14:val="tx1"/>
            </w14:solidFill>
          </w14:textFill>
        </w:rPr>
        <w:t xml:space="preserve">第五章 </w:t>
      </w:r>
      <w:r>
        <w:rPr>
          <w:rFonts w:hint="eastAsia" w:cs="黑体" w:asciiTheme="majorEastAsia" w:hAnsiTheme="majorEastAsia" w:eastAsiaTheme="majorEastAsia"/>
          <w:b/>
          <w:bCs/>
          <w:color w:val="000000" w:themeColor="text1"/>
          <w:sz w:val="36"/>
          <w:szCs w:val="36"/>
          <w14:textFill>
            <w14:solidFill>
              <w14:schemeClr w14:val="tx1"/>
            </w14:solidFill>
          </w14:textFill>
        </w:rPr>
        <w:t xml:space="preserve">定标原则与评标标准</w:t>
      </w:r>
      <w:r/>
    </w:p>
    <w:p>
      <w:pPr>
        <w:ind w:right="0"/>
        <w:keepLines w:val="0"/>
        <w:keepNext w:val="0"/>
        <w:pageBreakBefore w:val="0"/>
        <w:spacing w:line="360" w:lineRule="auto"/>
        <w:rPr>
          <w:rFonts w:cs="Courier New" w:asciiTheme="majorEastAsia" w:hAnsiTheme="majorEastAsia" w:eastAsiaTheme="majorEastAsia"/>
          <w:b/>
          <w:bCs/>
          <w:color w:val="000000" w:themeColor="text1"/>
          <w:sz w:val="21"/>
          <w:szCs w:val="21"/>
          <w14:textFill>
            <w14:solidFill>
              <w14:schemeClr w14:val="tx1"/>
            </w14:solidFill>
          </w14:textFill>
        </w:rPr>
      </w:pPr>
      <w:r>
        <w:rPr>
          <w:rFonts w:hint="eastAsia" w:cs="Courier New" w:asciiTheme="majorEastAsia" w:hAnsiTheme="majorEastAsia" w:eastAsiaTheme="majorEastAsia"/>
          <w:b/>
          <w:bCs/>
          <w:color w:val="000000" w:themeColor="text1"/>
          <w:sz w:val="21"/>
          <w:szCs w:val="21"/>
          <w14:textFill>
            <w14:solidFill>
              <w14:schemeClr w14:val="tx1"/>
            </w14:solidFill>
          </w14:textFill>
        </w:rPr>
        <w:t xml:space="preserve">一、定标原则</w:t>
      </w:r>
      <w:r/>
    </w:p>
    <w:p>
      <w:pPr>
        <w:ind w:right="0" w:firstLine="42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本项目采用</w:t>
      </w:r>
      <w:r>
        <w:rPr>
          <w:rFonts w:hint="eastAsia" w:cs="Courier New" w:asciiTheme="majorEastAsia" w:hAnsiTheme="majorEastAsia" w:eastAsiaTheme="majorEastAsia"/>
          <w:bCs/>
          <w:color w:val="000000" w:themeColor="text1"/>
          <w:sz w:val="21"/>
          <w:szCs w:val="21"/>
          <w:u w:val="single"/>
          <w:lang w:val="en-US" w:eastAsia="zh-CN" w:bidi="ar-SA"/>
          <w14:textFill>
            <w14:solidFill>
              <w14:schemeClr w14:val="tx1"/>
            </w14:solidFill>
          </w14:textFill>
        </w:rPr>
        <w:t xml:space="preserve"> 综合评分</w:t>
      </w: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 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17"/>
        <w:ind w:right="0" w:firstLine="420"/>
        <w:keepLines w:val="0"/>
        <w:keepNext w:val="0"/>
        <w:pageBreakBefore w:val="0"/>
        <w:spacing w:before="0" w:after="0" w:line="360" w:lineRule="auto"/>
        <w:rPr>
          <w:rFonts w:hint="eastAsia" w:cs="Courier New" w:asciiTheme="majorEastAsia" w:hAnsiTheme="majorEastAsia" w:eastAsiaTheme="majorEastAsia"/>
          <w:bCs/>
          <w:color w:val="000000" w:themeColor="text1"/>
          <w:sz w:val="21"/>
          <w:szCs w:val="21"/>
          <w14:textFill>
            <w14:solidFill>
              <w14:schemeClr w14:val="tx1"/>
            </w14:solidFill>
          </w14:textFill>
        </w:rPr>
      </w:pP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开标、评标、定标顺序：按</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一→</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二→</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三→ </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四→ </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五→</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采购包六</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 </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采购包七</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 </w:t>
      </w:r>
      <w:r>
        <w:rPr>
          <w:rFonts w:hint="eastAsia" w:cs="Courier New" w:asciiTheme="majorEastAsia" w:hAnsiTheme="majorEastAsia" w:eastAsiaTheme="majorEastAsia"/>
          <w:bCs/>
          <w:color w:val="000000" w:themeColor="text1"/>
          <w:sz w:val="21"/>
          <w:szCs w:val="21"/>
          <w:lang w:val="en-US" w:eastAsia="zh-CN"/>
          <w14:textFill>
            <w14:solidFill>
              <w14:schemeClr w14:val="tx1"/>
            </w14:solidFill>
          </w14:textFill>
        </w:rPr>
        <w:t xml:space="preserve">采购包八</w:t>
      </w:r>
      <w:r>
        <w:rPr>
          <w:rFonts w:hint="eastAsia" w:cs="Courier New" w:asciiTheme="majorEastAsia" w:hAnsiTheme="majorEastAsia" w:eastAsiaTheme="majorEastAsia"/>
          <w:bCs/>
          <w:color w:val="000000" w:themeColor="text1"/>
          <w:sz w:val="21"/>
          <w:szCs w:val="21"/>
          <w14:textFill>
            <w14:solidFill>
              <w14:schemeClr w14:val="tx1"/>
            </w14:solidFill>
          </w14:textFill>
        </w:rPr>
        <w:t xml:space="preserve">的顺序依次进行，在前面1个标段评审过程中被评标委员会确定排名第一的中标候选人的投标人将不作为后续标段中标候选人的推荐，但其有效投标报价仍参加后续标段的评审，以此类推。</w:t>
      </w:r>
      <w:r/>
    </w:p>
    <w:p>
      <w:pPr>
        <w:pStyle w:val="717"/>
        <w:ind w:right="0" w:firstLine="422"/>
        <w:keepLines w:val="0"/>
        <w:keepNext w:val="0"/>
        <w:pageBreakBefore w:val="0"/>
        <w:spacing w:before="0" w:after="0" w:line="360" w:lineRule="auto"/>
        <w:rPr>
          <w:rFonts w:asciiTheme="majorEastAsia" w:hAnsiTheme="majorEastAsia" w:eastAsiaTheme="majorEastAsia"/>
          <w:b/>
          <w:color w:val="000000" w:themeColor="text1"/>
          <w:sz w:val="21"/>
          <w:szCs w:val="21"/>
          <w14:textFill>
            <w14:solidFill>
              <w14:schemeClr w14:val="tx1"/>
            </w14:solidFill>
          </w14:textFill>
        </w:rPr>
      </w:pPr>
      <w:r>
        <w:rPr>
          <w:rFonts w:hint="eastAsia" w:asciiTheme="majorEastAsia" w:hAnsiTheme="majorEastAsia" w:eastAsiaTheme="majorEastAsia"/>
          <w:b/>
          <w:color w:val="000000" w:themeColor="text1"/>
          <w:sz w:val="21"/>
          <w:szCs w:val="21"/>
          <w14:textFill>
            <w14:solidFill>
              <w14:schemeClr w14:val="tx1"/>
            </w14:solidFill>
          </w14:textFill>
        </w:rPr>
        <w:t xml:space="preserve">政府采购政策功能落实</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1、小微型企业价格扣除</w:t>
      </w:r>
      <w:r/>
    </w:p>
    <w:p>
      <w:pPr>
        <w:pStyle w:val="717"/>
        <w:ind w:right="0" w:firstLine="420"/>
        <w:keepLines w:val="0"/>
        <w:keepNext w:val="0"/>
        <w:pageBreakBefore w:val="0"/>
        <w:spacing w:before="0" w:after="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（2）供应商需按照采购文件的要求提供相应的《中小企业声明函》。</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（3）企业标准请参照《关于印发中小企业划型标准规定的通知》（工信部联企业〔2011〕300号）文件规定自行填写。</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2、残疾人福利单位价格扣除</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（1）本项目对残疾人福利性单位视同小型、微型企业，给予20%的价格扣除。</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（2）残疾人福利单位需按照采购文件的要求提供《残疾人福利性单位声明函》。</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（3）残疾人福利单位标准请参照《关于促进残疾人就业政府采购政策的通知》（财库〔2017〕141号）。</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3、监狱和戒毒企业价格扣除</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（1）本项目对监狱和戒毒企业（简称监狱企业）视同小型、微型企业，给予20%的价格扣除。</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（3）监狱企业标准请参照《关于政府采购支持监狱企业发展有关问题的通知》（财库〔2014〕68号）。</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4、残疾人福利单位、监狱企业属于小型、微型企业的，不重复享受政策。</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707"/>
        <w:ind w:right="0" w:firstLine="420"/>
        <w:keepLines w:val="0"/>
        <w:keepNext w:val="0"/>
        <w:pageBreakBefore w:val="0"/>
        <w:spacing w:before="0" w:beforeAutospacing="0" w:after="0" w:afterAutospacing="0"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6、联合体各方均为小型、微型企业（残疾人福利单位、监狱企业）的，联合体享受20%的价格扣除。</w:t>
      </w:r>
      <w:r/>
    </w:p>
    <w:p>
      <w:pPr>
        <w:ind w:right="0" w:firstLine="420"/>
        <w:keepLines w:val="0"/>
        <w:keepNext w:val="0"/>
        <w:pageBreakBefore w:val="0"/>
        <w:spacing w:line="360" w:lineRule="auto"/>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pP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7、严格执行政府采购关于支持</w:t>
      </w:r>
      <w:r>
        <w:rPr>
          <w:rFonts w:hint="eastAsia" w:cs="Courier New" w:asciiTheme="majorEastAsia" w:hAnsiTheme="majorEastAsia" w:eastAsiaTheme="majorEastAsia"/>
          <w:bCs/>
          <w:color w:val="000000" w:themeColor="text1"/>
          <w:sz w:val="21"/>
          <w:szCs w:val="21"/>
          <w:lang w:val="en-US" w:eastAsia="zh-CN" w:bidi="ar-SA"/>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7"/>
        <w:ind w:firstLine="1262"/>
        <w:spacing w:before="120" w:beforeAutospacing="0" w:after="120" w:afterAutospacing="0" w:line="24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t xml:space="preserve">采购包</w:t>
      </w:r>
      <w:r>
        <w:rPr>
          <w:rFonts w:ascii="宋体" w:hAnsi="宋体" w:eastAsia="宋体" w:cs="宋体"/>
          <w:b/>
          <w:bCs/>
          <w:color w:val="000000" w:themeColor="text1"/>
          <w:spacing w:val="-1"/>
          <w:sz w:val="24"/>
          <w:szCs w:val="24"/>
          <w14:textFill>
            <w14:solidFill>
              <w14:schemeClr w14:val="tx1"/>
            </w14:solidFill>
          </w14:textFill>
        </w:rPr>
        <w:t xml:space="preserve">一、</w:t>
      </w:r>
      <w:r>
        <w:rPr>
          <w:rFonts w:hint="eastAsia" w:ascii="宋体" w:hAnsi="宋体" w:cs="宋体"/>
          <w:b/>
          <w:bCs/>
          <w:color w:val="000000" w:themeColor="text1"/>
          <w:spacing w:val="-1"/>
          <w:sz w:val="24"/>
          <w:szCs w:val="24"/>
          <w:lang w:val="en-US" w:eastAsia="zh-CN"/>
          <w14:textFill>
            <w14:solidFill>
              <w14:schemeClr w14:val="tx1"/>
            </w14:solidFill>
          </w14:textFill>
        </w:rPr>
        <w:t xml:space="preserve">采购包</w:t>
      </w:r>
      <w:r>
        <w:rPr>
          <w:rFonts w:ascii="宋体" w:hAnsi="宋体" w:eastAsia="宋体" w:cs="宋体"/>
          <w:b/>
          <w:bCs/>
          <w:color w:val="000000" w:themeColor="text1"/>
          <w:spacing w:val="-1"/>
          <w:sz w:val="24"/>
          <w:szCs w:val="24"/>
          <w14:textFill>
            <w14:solidFill>
              <w14:schemeClr w14:val="tx1"/>
            </w14:solidFill>
          </w14:textFill>
        </w:rPr>
        <w:t xml:space="preserve">二、</w:t>
      </w:r>
      <w:r>
        <w:rPr>
          <w:rFonts w:hint="eastAsia" w:ascii="宋体" w:hAnsi="宋体" w:cs="宋体"/>
          <w:b/>
          <w:bCs/>
          <w:color w:val="000000" w:themeColor="text1"/>
          <w:spacing w:val="-1"/>
          <w:sz w:val="24"/>
          <w:szCs w:val="24"/>
          <w:lang w:val="en-US" w:eastAsia="zh-CN"/>
          <w14:textFill>
            <w14:solidFill>
              <w14:schemeClr w14:val="tx1"/>
            </w14:solidFill>
          </w14:textFill>
        </w:rPr>
        <w:t xml:space="preserve">采购包</w:t>
      </w:r>
      <w:r>
        <w:rPr>
          <w:rFonts w:ascii="宋体" w:hAnsi="宋体" w:eastAsia="宋体" w:cs="宋体"/>
          <w:b/>
          <w:bCs/>
          <w:color w:val="000000" w:themeColor="text1"/>
          <w:spacing w:val="-1"/>
          <w:sz w:val="24"/>
          <w:szCs w:val="24"/>
          <w14:textFill>
            <w14:solidFill>
              <w14:schemeClr w14:val="tx1"/>
            </w14:solidFill>
          </w14:textFill>
        </w:rPr>
        <w:t xml:space="preserve">三</w:t>
      </w:r>
      <w:r>
        <w:rPr>
          <w:rFonts w:hint="eastAsia" w:ascii="宋体" w:hAnsi="宋体" w:cs="宋体"/>
          <w:b/>
          <w:bCs/>
          <w:color w:val="000000" w:themeColor="text1"/>
          <w:spacing w:val="-1"/>
          <w:sz w:val="24"/>
          <w:szCs w:val="24"/>
          <w:lang w:eastAsia="zh-CN"/>
          <w14:textFill>
            <w14:solidFill>
              <w14:schemeClr w14:val="tx1"/>
            </w14:solidFill>
          </w14:textFill>
        </w:rPr>
        <w:t xml:space="preserve">、</w:t>
      </w:r>
      <w:r>
        <w:rPr>
          <w:rFonts w:hint="eastAsia" w:ascii="宋体" w:hAnsi="宋体" w:cs="宋体"/>
          <w:b/>
          <w:bCs/>
          <w:color w:val="000000" w:themeColor="text1"/>
          <w:spacing w:val="-1"/>
          <w:sz w:val="24"/>
          <w:szCs w:val="24"/>
          <w:lang w:val="en-US" w:eastAsia="zh-CN"/>
          <w14:textFill>
            <w14:solidFill>
              <w14:schemeClr w14:val="tx1"/>
            </w14:solidFill>
          </w14:textFill>
        </w:rPr>
        <w:t xml:space="preserve">采购包四</w:t>
      </w:r>
      <w:r>
        <w:rPr>
          <w:rFonts w:hint="eastAsia" w:ascii="宋体" w:hAnsi="宋体" w:eastAsia="宋体" w:cs="宋体"/>
          <w:b/>
          <w:color w:val="000000"/>
          <w:highlight w:val="none"/>
        </w:rPr>
        <w:t xml:space="preserve">评标方法与评标标准</w:t>
      </w:r>
      <w:r/>
    </w:p>
    <w:tbl>
      <w:tblPr>
        <w:tblStyle w:val="690"/>
        <w:tblpPr w:horzAnchor="page" w:tblpXSpec="center" w:vertAnchor="text" w:tblpY="291"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16"/>
        <w:gridCol w:w="7362"/>
      </w:tblGrid>
      <w:tr>
        <w:trPr>
          <w:jc w:val="center"/>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right="-275"/>
              <w:jc w:val="both"/>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right="-275"/>
              <w:jc w:val="both"/>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3964" w:type="pct"/>
            <w:vAlign w:val="center"/>
            <w:textDirection w:val="lrTb"/>
            <w:noWrap w:val="false"/>
          </w:tcPr>
          <w:p>
            <w:pPr>
              <w:ind w:right="-275"/>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价格部分（20分）</w:t>
            </w:r>
            <w:r/>
          </w:p>
        </w:tc>
        <w:tc>
          <w:tcPr>
            <w:tcBorders>
              <w:top w:val="single" w:color="auto" w:sz="4" w:space="0"/>
              <w:left w:val="single" w:color="auto" w:sz="4" w:space="0"/>
              <w:bottom w:val="single" w:color="auto" w:sz="4" w:space="0"/>
              <w:right w:val="single" w:color="auto" w:sz="4" w:space="0"/>
            </w:tcBorders>
            <w:tcW w:w="3964" w:type="pct"/>
            <w:vAlign w:val="center"/>
            <w:textDirection w:val="lrTb"/>
            <w:noWrap w:val="false"/>
          </w:tcPr>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以进入详细评审的各投标人评标价的最低值为A值，A值价格分为满分，即20分。其他投标人的价格分统一按照以下公式计算：投标人评标价得分=（A/该投标人评标价）*20，得分保留小数点后二位，第三位四舍五入。本项最高得20分。</w:t>
            </w:r>
            <w:r/>
          </w:p>
        </w:tc>
      </w:tr>
      <w:tr>
        <w:trPr>
          <w:jc w:val="center"/>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Borders>
              <w:top w:val="single" w:color="auto" w:sz="4" w:space="0"/>
              <w:left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养护方案（68分）</w:t>
            </w:r>
            <w:r/>
          </w:p>
        </w:tc>
        <w:tc>
          <w:tcPr>
            <w:tcBorders>
              <w:top w:val="single" w:color="auto" w:sz="4" w:space="0"/>
              <w:left w:val="single" w:color="auto" w:sz="4" w:space="0"/>
              <w:bottom w:val="single" w:color="auto" w:sz="4" w:space="0"/>
              <w:right w:val="single" w:color="auto" w:sz="4" w:space="0"/>
            </w:tcBorders>
            <w:tcW w:w="3964" w:type="pct"/>
            <w:vAlign w:val="center"/>
            <w:textDirection w:val="lrTb"/>
            <w:noWrap w:val="false"/>
          </w:tcPr>
          <w:p>
            <w:pPr>
              <w:jc w:val="both"/>
              <w:spacing w:line="360" w:lineRule="auto"/>
              <w:widowControl/>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一、养护管理方案，包括下列4项：</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1、投标人投标前自行踏勘现场对项目现场的理解、认知，投标人对项目需求的理解。提供本方案的得基本分3分，未提供的该评审要点不得分。另评标委员会根据方案内容的完整性、合理性等方面进行评审加分。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方案完整，与现场完全符合的得2分；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方案不够完整，与现场不完全符合的得1分。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本项最高得5分。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结合本区设施基本情况，制定道路、雨水管网、桥梁等设施日常养护方案及计划，包括巡查制度、养护维修处置措施、质量保证措施、安全文明施工措施、交通维护措施以及和交通管理部门的协调、协作方案等。</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提供本方案的得基本分3分，未提供的该评审要点不得分。另评标委员会根据方案内容的针对性、合理性、科学性、可操作性等方面进行评审加分。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方案清晰、详细、全面，各项措施安排科学合理，有针对性，操作性强的得3分；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方案不够清晰、详细，各项措施合理安排基本符合要求的得2分；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方案欠缺，各项措施合理安排不太符合要求的得1分；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本项最高得6分。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3、开展城市桥梁巡查，交叉口病害整治、人行道破损松动、公交站台周边拥包沉陷、雨水设施病害、桥梁结构病害、路面病害等一批病害专项整治方案。</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提供本方案的得基本分5分，未提供的该评审要点不得分。另评标委员会根据方案内容的完整性、针对性、合理性、科学性、可操作性等方面进行评审加分。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方案科学、合理、可操作性强的得3分；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方案基本合理、操作性欠缺的得2分；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方案不太符合要求的得1分；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本项最高得8分。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4、针对本项目各种不同作业条件、环境因素制定完整的道路安全围护方案，包括施工前、施工中、施工后道路施工安全围护的方案。</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提供本方案的得基本分3分，未提供的该评审要点不得分。另评标委员会根据方案内容的完整性、针对性、合理性、科学性、可操作性等方面进行评审加分。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方案完整，合理、可行、有针对性的得3分；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方案一般，针对性不强的得1分；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方案较差，无可操作性的得0分。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本项最高得6分。</w:t>
            </w:r>
            <w:r/>
          </w:p>
          <w:p>
            <w:pPr>
              <w:jc w:val="both"/>
              <w:spacing w:line="360" w:lineRule="auto"/>
              <w:widowControl/>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二、应急响应方案：</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包括防汛防台、抗雪防冻、市民投诉、“12345”服务热线、突发事件应急处理及重大活动保障的人员配备、物资储备和启动、应急处置等方案。</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提供本方案的得基本分6分，未提供的该评审要点不得分。另评标委员会根据方案内容的完整性、针对性、合理性、科学性、可操作性等方面进行评审加分。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应急响应方案完整、科学、合理、针对性及可操作性强的得5分；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应急响应方案基本完整、较合理、针对性及可操作性较强的得3分；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应急响应方案不完整、不太合理、没有针对性及可操作性的得1分。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本项最高得11分。</w:t>
            </w:r>
            <w:r/>
          </w:p>
          <w:p>
            <w:pPr>
              <w:jc w:val="both"/>
              <w:spacing w:line="360" w:lineRule="auto"/>
              <w:widowControl/>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三、养护考核方案：</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包括内部管理制度、考核监督制度、奖惩制度等。</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提供本方案的得基本分4分，未提供的该评审要点不得分。另评标委员会根据方案内容的完整性、针对性、科学性、可操作性等方面进行评审加分。 </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养护考核方案科学合理、具有针对性及可操作性的得3分；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养护考核方案较合理、针对性及可操作性不强的得1分；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本项最高得7分。</w:t>
            </w:r>
            <w:r/>
          </w:p>
          <w:p>
            <w:pPr>
              <w:jc w:val="both"/>
              <w:spacing w:line="360" w:lineRule="auto"/>
              <w:widowControl/>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四、资料管理方案：</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日常养护、维修、检测、技术状况评价等资料的整理归档方案是否符合相关规范要求，是否响应将相关数据及时、准确录入监管部门的道路管理系统，达到项目预定要求。</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提供本方案的得基本分3分，未提供的该评审要点不得分。另评标委员会根据方案内容的完整性、针对性、合理性、操作性等方面进行评审加分。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资料管理方案科学合理、具有针对性及可操作性、准确性的得2分；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资料管理方案较合理、针对性及可操作性不强、基本准确的得1分。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本项最高得5分。</w:t>
            </w:r>
            <w:r/>
          </w:p>
          <w:p>
            <w:pPr>
              <w:jc w:val="both"/>
              <w:spacing w:line="360" w:lineRule="auto"/>
              <w:widowControl/>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五、新产品、新技术应用于养护方案：</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有针对各类养护问题需采用不同的养护维修工艺或处理方法，养护管理、作业方案有创新等。</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提供本方案的得基本分1分，未提供的该评审要点不得分。另评标委员会根据方案内容的完整性、针对性、创新性等方面进行评审加分。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新技术具有健全、稳定、成熟可行的方案及优化建议，养护管理、作业方案有技术创新的得2分；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新技术方案基本满足要求的得1分。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本项最高得3分。</w:t>
            </w:r>
            <w:r/>
          </w:p>
          <w:p>
            <w:pPr>
              <w:numPr>
                <w:ilvl w:val="0"/>
                <w:numId w:val="1"/>
              </w:numPr>
              <w:jc w:val="both"/>
              <w:spacing w:line="360" w:lineRule="auto"/>
              <w:widowControl/>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养护资源配置：</w:t>
            </w:r>
            <w:r/>
          </w:p>
          <w:p>
            <w:pPr>
              <w:numPr>
                <w:ilvl w:val="0"/>
                <w:numId w:val="0"/>
              </w:num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根据本项目采购需求、实施特点等因素，配备与本采购需求（至少包括但不限于项目负责人、技术负责人、专职安全员、管理人员、巡护员等）要求的项目部组成人员表的得基本分1分，未提供项目部组成人员表的或未按采购需求提供的，该评审要点不得基本分也不另行加分。</w:t>
            </w:r>
            <w:r/>
          </w:p>
          <w:p>
            <w:pPr>
              <w:numPr>
                <w:ilvl w:val="0"/>
                <w:numId w:val="0"/>
              </w:num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另评标委员会根据项目部组成人员表中的证书进行评审加分。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项目</w:t>
            </w:r>
            <w:r>
              <w:rPr>
                <w:rFonts w:hint="eastAsia" w:ascii="宋体" w:hAnsi="宋体" w:eastAsia="宋体" w:cs="宋体"/>
                <w:color w:val="000000" w:themeColor="text1"/>
                <w:lang w:val="en-US" w:eastAsia="zh-CN"/>
                <w14:textFill>
                  <w14:solidFill>
                    <w14:schemeClr w14:val="tx1"/>
                  </w14:solidFill>
                </w14:textFill>
              </w:rPr>
              <w:t xml:space="preserve">部组成人员表中每提供一个与市政专业类（不含职称证）相关的证书得0.5分。</w:t>
            </w:r>
            <w:r/>
          </w:p>
          <w:p>
            <w:pPr>
              <w:numPr>
                <w:ilvl w:val="0"/>
                <w:numId w:val="0"/>
              </w:numPr>
              <w:jc w:val="both"/>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本项最高得6分</w:t>
            </w:r>
            <w:r/>
          </w:p>
          <w:p>
            <w:pPr>
              <w:jc w:val="both"/>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注：</w:t>
            </w:r>
            <w:r/>
          </w:p>
          <w:p>
            <w:pPr>
              <w:numPr>
                <w:ilvl w:val="0"/>
                <w:numId w:val="0"/>
              </w:num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auto"/>
                <w:szCs w:val="21"/>
                <w:lang w:val="en-US" w:eastAsia="zh-CN"/>
              </w:rPr>
              <w:t xml:space="preserve">①</w:t>
            </w:r>
            <w:r>
              <w:rPr>
                <w:rFonts w:hint="eastAsia" w:ascii="宋体" w:hAnsi="宋体" w:eastAsia="宋体" w:cs="宋体"/>
                <w:color w:val="000000" w:themeColor="text1"/>
                <w:lang w:val="en-US" w:eastAsia="zh-CN"/>
                <w14:textFill>
                  <w14:solidFill>
                    <w14:schemeClr w14:val="tx1"/>
                  </w14:solidFill>
                </w14:textFill>
              </w:rPr>
              <w:t xml:space="preserve">上述人员投标时须提供项目部组成人员表（格式自拟）；</w:t>
            </w:r>
            <w:r/>
          </w:p>
          <w:p>
            <w:pPr>
              <w:numPr>
                <w:ilvl w:val="0"/>
                <w:numId w:val="0"/>
              </w:num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②须提供人员有效的相关证书</w:t>
            </w:r>
            <w:r>
              <w:rPr>
                <w:rFonts w:hint="eastAsia" w:ascii="宋体" w:hAnsi="宋体" w:eastAsia="宋体" w:cs="宋体"/>
                <w:color w:val="000000" w:themeColor="text1"/>
                <w:lang w:val="en-GB" w:eastAsia="zh-CN"/>
                <w14:textFill>
                  <w14:solidFill>
                    <w14:schemeClr w14:val="tx1"/>
                  </w14:solidFill>
                </w14:textFill>
              </w:rPr>
              <w:t xml:space="preserve">原件扫描件</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lang w:val="en-GB" w:eastAsia="zh-CN"/>
                <w14:textFill>
                  <w14:solidFill>
                    <w14:schemeClr w14:val="tx1"/>
                  </w14:solidFill>
                </w14:textFill>
              </w:rPr>
              <w:t xml:space="preserve">未按要求提供和不提供的均不得分。</w:t>
            </w:r>
            <w:r/>
          </w:p>
          <w:p>
            <w:pPr>
              <w:numPr>
                <w:ilvl w:val="0"/>
                <w:numId w:val="0"/>
              </w:numPr>
              <w:jc w:val="both"/>
              <w:spacing w:line="360" w:lineRule="auto"/>
              <w:widowControl/>
              <w:rPr>
                <w:rFonts w:hint="eastAsia" w:ascii="宋体" w:hAnsi="宋体" w:eastAsia="宋体" w:cs="宋体"/>
                <w:color w:val="000000" w:themeColor="text1"/>
                <w:lang w:val="en-GB"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③</w:t>
            </w:r>
            <w:r>
              <w:rPr>
                <w:rFonts w:hint="eastAsia" w:ascii="宋体" w:hAnsi="宋体" w:eastAsia="宋体" w:cs="宋体"/>
                <w:color w:val="000000" w:themeColor="text1"/>
                <w:lang w:val="en-GB" w:eastAsia="zh-CN"/>
                <w14:textFill>
                  <w14:solidFill>
                    <w14:schemeClr w14:val="tx1"/>
                  </w14:solidFill>
                </w14:textFill>
              </w:rPr>
              <w:t xml:space="preserve">须保证拟派人员均为各单位的正式职工，投标人与以上人员签订的劳动合同原件扫描件，</w:t>
            </w:r>
            <w:r>
              <w:rPr>
                <w:rFonts w:hint="eastAsia" w:ascii="宋体" w:hAnsi="宋体" w:eastAsia="宋体" w:cs="宋体"/>
                <w:color w:val="000000" w:themeColor="text1"/>
                <w:lang w:val="en-US" w:eastAsia="zh-CN"/>
                <w14:textFill>
                  <w14:solidFill>
                    <w14:schemeClr w14:val="tx1"/>
                  </w14:solidFill>
                </w14:textFill>
              </w:rPr>
              <w:t xml:space="preserve">以及投标人为其缴纳的近三个月内任意一个月的社保证明材料</w:t>
            </w:r>
            <w:r>
              <w:rPr>
                <w:rFonts w:hint="eastAsia" w:ascii="宋体" w:hAnsi="宋体" w:eastAsia="宋体" w:cs="宋体"/>
                <w:color w:val="000000" w:themeColor="text1"/>
                <w:lang w:val="en-GB" w:eastAsia="zh-CN"/>
                <w14:textFill>
                  <w14:solidFill>
                    <w14:schemeClr w14:val="tx1"/>
                  </w14:solidFill>
                </w14:textFill>
              </w:rPr>
              <w:t xml:space="preserve">，未按要求提供和不提供的均不得分。</w:t>
            </w:r>
            <w:r/>
          </w:p>
          <w:p>
            <w:pPr>
              <w:numPr>
                <w:ilvl w:val="0"/>
                <w:numId w:val="0"/>
              </w:num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④同一人员不重复计算。</w:t>
            </w:r>
            <w:r/>
          </w:p>
          <w:p>
            <w:pPr>
              <w:numPr>
                <w:ilvl w:val="0"/>
                <w:numId w:val="0"/>
              </w:numPr>
              <w:jc w:val="both"/>
              <w:spacing w:line="36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（2）根据本项目采购需求、实施特点等因素，提供与本采购需求（至少包括但不限于 3 辆皮卡汽车、小型压路机、小铣刨机、</w:t>
            </w:r>
            <w:r>
              <w:rPr>
                <w:rFonts w:hint="eastAsia" w:ascii="宋体" w:hAnsi="宋体" w:eastAsia="宋体" w:cs="宋体"/>
                <w:color w:val="000000" w:themeColor="text1"/>
                <w:highlight w:val="none"/>
                <w:lang w:eastAsia="zh-CN"/>
                <w14:textFill>
                  <w14:solidFill>
                    <w14:schemeClr w14:val="tx1"/>
                  </w14:solidFill>
                </w14:textFill>
              </w:rPr>
              <w:t xml:space="preserve">挖掘机、小型发电机</w:t>
            </w:r>
            <w:r>
              <w:rPr>
                <w:rFonts w:hint="eastAsia" w:ascii="宋体" w:hAnsi="宋体" w:eastAsia="宋体" w:cs="宋体"/>
                <w:color w:val="000000" w:themeColor="text1"/>
                <w:highlight w:val="none"/>
                <w:lang w:val="en-US" w:eastAsia="zh-CN"/>
                <w14:textFill>
                  <w14:solidFill>
                    <w14:schemeClr w14:val="tx1"/>
                  </w14:solidFill>
                </w14:textFill>
              </w:rPr>
              <w:t xml:space="preserve">）要求的拟投入现场的车辆、设备等配备一览表的得基本分1分，未提供的或未按采购需求提供的，该评审要点不得分也不另行加分。另评标委员会根据投标人拟投入现场的车辆、设备自有或租赁进行评审加分。</w:t>
            </w:r>
            <w:r/>
          </w:p>
          <w:p>
            <w:pPr>
              <w:numPr>
                <w:ilvl w:val="0"/>
                <w:numId w:val="0"/>
              </w:numPr>
              <w:jc w:val="both"/>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车辆、设备等配备一览表中每提供一辆/台/套自有设备得1分；每提供一辆/台/套租赁设备得0.5分。</w:t>
            </w:r>
            <w:r/>
          </w:p>
          <w:p>
            <w:pPr>
              <w:pStyle w:val="713"/>
              <w:jc w:val="both"/>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本项最高得11分</w:t>
            </w:r>
            <w:r/>
          </w:p>
          <w:p>
            <w:pPr>
              <w:numPr>
                <w:ilvl w:val="0"/>
                <w:numId w:val="0"/>
              </w:numPr>
              <w:jc w:val="both"/>
              <w:spacing w:line="36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投标人自有的设施设备须提供购买车辆或设备全款发票（发票日期不得晚于开标日期）、车辆照片、车辆行驶证、车辆保单的原件扫描件；投标人租赁的车辆或设备须提供有效的租赁合同、车辆照片、车辆行驶证、车辆保单的原件扫描件。</w:t>
            </w:r>
            <w:r>
              <w:rPr>
                <w:rFonts w:hint="eastAsia" w:ascii="宋体" w:hAnsi="宋体" w:eastAsia="宋体" w:cs="宋体"/>
                <w:color w:val="000000" w:themeColor="text1"/>
                <w:highlight w:val="none"/>
                <w:lang w:val="en-GB" w:eastAsia="zh-CN"/>
                <w14:textFill>
                  <w14:solidFill>
                    <w14:schemeClr w14:val="tx1"/>
                  </w14:solidFill>
                </w14:textFill>
              </w:rPr>
              <w:t xml:space="preserve">未按要求提供</w:t>
            </w:r>
            <w:r>
              <w:rPr>
                <w:rFonts w:hint="eastAsia" w:ascii="宋体" w:hAnsi="宋体" w:eastAsia="宋体" w:cs="宋体"/>
                <w:color w:val="000000" w:themeColor="text1"/>
                <w:highlight w:val="none"/>
                <w:lang w:val="en-US" w:eastAsia="zh-CN"/>
                <w14:textFill>
                  <w14:solidFill>
                    <w14:schemeClr w14:val="tx1"/>
                  </w14:solidFill>
                </w14:textFill>
              </w:rPr>
              <w:t xml:space="preserve">齐全</w:t>
            </w:r>
            <w:r>
              <w:rPr>
                <w:rFonts w:hint="eastAsia" w:ascii="宋体" w:hAnsi="宋体" w:eastAsia="宋体" w:cs="宋体"/>
                <w:color w:val="000000" w:themeColor="text1"/>
                <w:highlight w:val="none"/>
                <w:lang w:val="en-GB" w:eastAsia="zh-CN"/>
                <w14:textFill>
                  <w14:solidFill>
                    <w14:schemeClr w14:val="tx1"/>
                  </w14:solidFill>
                </w14:textFill>
              </w:rPr>
              <w:t xml:space="preserve">和不提供的均不得分。</w:t>
            </w:r>
            <w:r/>
          </w:p>
          <w:p>
            <w:pPr>
              <w:numPr>
                <w:ilvl w:val="0"/>
                <w:numId w:val="0"/>
              </w:num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养护方案不得超过160页，每超过1页扣0.1分。</w:t>
            </w:r>
            <w:r/>
          </w:p>
        </w:tc>
      </w:tr>
      <w:tr>
        <w:trPr>
          <w:jc w:val="center"/>
          <w:trHeight w:val="244"/>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安全生产管理(6分）</w:t>
            </w:r>
            <w:r/>
          </w:p>
        </w:tc>
        <w:tc>
          <w:tcPr>
            <w:tcBorders>
              <w:top w:val="single" w:color="auto" w:sz="4" w:space="0"/>
              <w:left w:val="single" w:color="auto" w:sz="4" w:space="0"/>
              <w:bottom w:val="single" w:color="auto" w:sz="4" w:space="0"/>
              <w:right w:val="single" w:color="auto" w:sz="4" w:space="0"/>
            </w:tcBorders>
            <w:tcW w:w="3964" w:type="pct"/>
            <w:vAlign w:val="center"/>
            <w:textDirection w:val="lrTb"/>
            <w:noWrap w:val="false"/>
          </w:tcPr>
          <w:p>
            <w:pPr>
              <w:jc w:val="both"/>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制订安全生产管理制度（其中包含员工安全教育管理制度、主要作业过程中的安全生产、管理制度及文明作业管理等），提供本方案的得基本分3分，未提供该评审要点不得分。另评标委员会根据管理制度的完整性、针对性、合理性等方面进行评审加分。</w:t>
            </w:r>
            <w:r/>
          </w:p>
          <w:p>
            <w:pPr>
              <w:jc w:val="both"/>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制度完整、科学、详细、职责分明的得3分；</w:t>
            </w:r>
            <w:r/>
          </w:p>
          <w:p>
            <w:pPr>
              <w:jc w:val="both"/>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制度基本完整、基本合理、可行的得2分；</w:t>
            </w:r>
            <w:r/>
          </w:p>
          <w:p>
            <w:pPr>
              <w:jc w:val="both"/>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制度不够完善、可操作性不强、职责不明的得1分；</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本项最高得6分。</w:t>
            </w:r>
            <w:r/>
          </w:p>
        </w:tc>
      </w:tr>
      <w:tr>
        <w:trPr>
          <w:jc w:val="center"/>
          <w:trHeight w:val="244"/>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商务部分</w:t>
            </w:r>
            <w:r/>
          </w:p>
        </w:tc>
      </w:tr>
      <w:tr>
        <w:trPr>
          <w:jc w:val="center"/>
          <w:trHeight w:val="244"/>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履约能力（2分）</w:t>
            </w:r>
            <w:r/>
          </w:p>
        </w:tc>
        <w:tc>
          <w:tcPr>
            <w:tcBorders>
              <w:top w:val="single" w:color="auto" w:sz="4" w:space="0"/>
              <w:left w:val="single" w:color="auto" w:sz="4" w:space="0"/>
              <w:bottom w:val="single" w:color="auto" w:sz="4" w:space="0"/>
              <w:right w:val="single" w:color="auto" w:sz="4" w:space="0"/>
            </w:tcBorders>
            <w:tcW w:w="3964" w:type="pct"/>
            <w:vAlign w:val="center"/>
            <w:textDirection w:val="lrTb"/>
            <w:noWrap w:val="false"/>
          </w:tcPr>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根据本项目采购需求、实施特点等因素，投标人须在项目实施前，配备与本招标项目相适应的固定办公场所、机械设备及材料堆放场地等。各投标人可在投标时提供加盖投标单位公章的承诺函，承诺内容包括但不限于：若中标，保证在履约前向甲方提供符合上述要求的固定办公场所、机械设备及材料堆放场地等的证明材料原件及复印件，否则甲方有权没收履约保证金，并自愿接受政府采购监督管理机构和有关行政监督部门依法给予的行政处罚（处理），作为不良行为在政府采购网进行公示，并依法承担相应责任。</w:t>
            </w:r>
            <w:r/>
          </w:p>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提供承诺函的得2分，未提供或提供的承诺函偏离采购需求的，不得分。</w:t>
            </w:r>
            <w:r/>
          </w:p>
        </w:tc>
      </w:tr>
      <w:tr>
        <w:trPr>
          <w:jc w:val="center"/>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业绩</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964" w:type="pct"/>
            <w:vAlign w:val="center"/>
            <w:textDirection w:val="lrTb"/>
            <w:noWrap w:val="false"/>
          </w:tcPr>
          <w:p>
            <w:pPr>
              <w:jc w:val="both"/>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投标人具有2021年1月1日以来类似市政设施养护项目业绩（以合同签订日期为准）每有1个得1分。提供业绩证明材料的彩色扫描件上传至投标文件中。未提供的不得分。本项最高得2分。</w:t>
            </w:r>
            <w:r/>
          </w:p>
        </w:tc>
      </w:tr>
      <w:tr>
        <w:trPr>
          <w:jc w:val="center"/>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节能环保（2分）</w:t>
            </w:r>
            <w:r/>
          </w:p>
        </w:tc>
        <w:tc>
          <w:tcPr>
            <w:tcBorders>
              <w:top w:val="single" w:color="auto" w:sz="4" w:space="0"/>
              <w:left w:val="single" w:color="auto" w:sz="4" w:space="0"/>
              <w:bottom w:val="single" w:color="auto" w:sz="4" w:space="0"/>
              <w:right w:val="single" w:color="auto" w:sz="4" w:space="0"/>
            </w:tcBorders>
            <w:tcW w:w="3964" w:type="pct"/>
            <w:vAlign w:val="center"/>
            <w:textDirection w:val="lrTb"/>
            <w:noWrap w:val="false"/>
          </w:tcPr>
          <w:p>
            <w:pPr>
              <w:jc w:val="both"/>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both"/>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706"/>
        <w:rPr>
          <w:color w:val="000000" w:themeColor="text1"/>
          <w14:textFill>
            <w14:solidFill>
              <w14:schemeClr w14:val="tx1"/>
            </w14:solidFill>
          </w14:textFill>
        </w:rPr>
      </w:pPr>
      <w:r>
        <w:rPr>
          <w:color w:val="000000" w:themeColor="text1"/>
          <w14:textFill>
            <w14:solidFill>
              <w14:schemeClr w14:val="tx1"/>
            </w14:solidFill>
          </w14:textFill>
        </w:rPr>
      </w:r>
      <w:r/>
    </w:p>
    <w:p>
      <w:pPr>
        <w:jc w:val="both"/>
        <w:spacing w:before="79" w:line="220" w:lineRule="auto"/>
        <w:rPr>
          <w:rFonts w:hint="eastAsia" w:ascii="宋体" w:hAnsi="宋体" w:cs="宋体"/>
          <w:color w:val="000000" w:themeColor="text1"/>
          <w:spacing w:val="-1"/>
          <w:sz w:val="24"/>
          <w:szCs w:val="24"/>
          <w:lang w:val="en-US" w:eastAsia="zh-CN"/>
          <w14:textFill>
            <w14:solidFill>
              <w14:schemeClr w14:val="tx1"/>
            </w14:solidFill>
          </w14:textFill>
        </w:rPr>
        <w:outlineLvl w:val="6"/>
      </w:pPr>
      <w:r>
        <w:rPr>
          <w:rFonts w:hint="eastAsia" w:ascii="宋体" w:hAnsi="宋体" w:cs="宋体"/>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ind w:firstLine="482"/>
        <w:spacing w:before="120" w:beforeAutospacing="0" w:after="120" w:afterAutospacing="0" w:line="0" w:lineRule="atLeast"/>
        <w:rPr>
          <w:rFonts w:hint="eastAsia" w:ascii="宋体" w:hAnsi="宋体" w:cs="宋体"/>
          <w:b/>
          <w:bCs/>
          <w:color w:val="000000" w:themeColor="text1"/>
          <w:spacing w:val="-1"/>
          <w:sz w:val="24"/>
          <w:szCs w:val="24"/>
          <w:lang w:val="en-US" w:eastAsia="zh-CN"/>
          <w14:textFill>
            <w14:solidFill>
              <w14:schemeClr w14:val="tx1"/>
            </w14:solidFill>
          </w14:textFill>
        </w:rPr>
      </w:pPr>
      <w:r>
        <w:rPr>
          <w:rFonts w:hint="eastAsia" w:ascii="宋体" w:hAnsi="宋体" w:cs="宋体"/>
          <w:b/>
          <w:bCs/>
          <w:color w:val="000000" w:themeColor="text1"/>
          <w:spacing w:val="-1"/>
          <w:sz w:val="24"/>
          <w:szCs w:val="24"/>
          <w:lang w:val="en-US" w:eastAsia="zh-CN"/>
          <w14:textFill>
            <w14:solidFill>
              <w14:schemeClr w14:val="tx1"/>
            </w14:solidFill>
          </w14:textFill>
        </w:rPr>
      </w:r>
      <w:r/>
    </w:p>
    <w:p>
      <w:pPr>
        <w:pStyle w:val="707"/>
        <w:jc w:val="center"/>
        <w:spacing w:before="120" w:beforeAutospacing="0" w:after="120" w:afterAutospacing="0" w:line="360" w:lineRule="auto"/>
        <w:rPr>
          <w:rFonts w:hint="eastAsia" w:ascii="宋体" w:hAnsi="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采购包五、采购包六</w:t>
      </w:r>
      <w:r>
        <w:rPr>
          <w:rFonts w:ascii="宋体" w:hAnsi="宋体" w:eastAsia="宋体" w:cs="宋体"/>
          <w:b/>
          <w:bCs/>
          <w:color w:val="000000" w:themeColor="text1"/>
          <w:spacing w:val="-1"/>
          <w:sz w:val="24"/>
          <w:szCs w:val="24"/>
          <w14:textFill>
            <w14:solidFill>
              <w14:schemeClr w14:val="tx1"/>
            </w14:solidFill>
          </w14:textFill>
        </w:rPr>
        <w:t xml:space="preserve">评</w:t>
      </w:r>
      <w:r>
        <w:rPr>
          <w:rFonts w:hint="eastAsia" w:ascii="宋体" w:hAnsi="宋体" w:eastAsia="宋体" w:cs="宋体"/>
          <w:b/>
          <w:bCs/>
          <w:color w:val="000000" w:themeColor="text1"/>
          <w:spacing w:val="-1"/>
          <w:sz w:val="24"/>
          <w:szCs w:val="24"/>
          <w14:textFill>
            <w14:solidFill>
              <w14:schemeClr w14:val="tx1"/>
            </w14:solidFill>
          </w14:textFill>
        </w:rPr>
        <w:t xml:space="preserve">评标方法与评标标准</w:t>
      </w:r>
      <w:r/>
    </w:p>
    <w:tbl>
      <w:tblPr>
        <w:tblStyle w:val="690"/>
        <w:tblpPr w:horzAnchor="page" w:tblpXSpec="center" w:vertAnchor="text" w:tblpY="291" w:leftFromText="180" w:topFromText="0" w:rightFromText="180" w:bottomFromText="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142"/>
        <w:gridCol w:w="7422"/>
      </w:tblGrid>
      <w:tr>
        <w:trPr>
          <w:jc w:val="center"/>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ind w:right="-275"/>
              <w:jc w:val="both"/>
              <w:spacing w:line="360" w:lineRule="auto"/>
              <w:widowControl/>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right="-275"/>
              <w:jc w:val="both"/>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3996" w:type="pct"/>
            <w:vAlign w:val="center"/>
            <w:textDirection w:val="lrTb"/>
            <w:noWrap w:val="false"/>
          </w:tcPr>
          <w:p>
            <w:pPr>
              <w:ind w:right="-275"/>
              <w:jc w:val="center"/>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价格部分（20分）</w:t>
            </w:r>
            <w:r/>
          </w:p>
        </w:tc>
        <w:tc>
          <w:tcPr>
            <w:tcBorders>
              <w:top w:val="single" w:color="auto" w:sz="4" w:space="0"/>
              <w:left w:val="single" w:color="auto" w:sz="4" w:space="0"/>
              <w:bottom w:val="single" w:color="auto" w:sz="4" w:space="0"/>
              <w:right w:val="single" w:color="auto" w:sz="4" w:space="0"/>
            </w:tcBorders>
            <w:tcW w:w="3996"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以进入详细评审的各投标人评标价的最低值为A值，A值价格分为满分，即20分。其他投标人的价格分统一按照以下公式计算：投标人评标价得分=（A/该投标人评标价）*20，得分保留小数点后二位，第三位四舍五入。本项最高得20分。</w:t>
            </w:r>
            <w:r/>
          </w:p>
        </w:tc>
      </w:tr>
      <w:tr>
        <w:trPr>
          <w:jc w:val="center"/>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p>
        </w:tc>
        <w:tc>
          <w:tcPr>
            <w:tcBorders>
              <w:top w:val="single" w:color="auto" w:sz="4" w:space="0"/>
              <w:left w:val="single" w:color="auto" w:sz="4" w:space="0"/>
              <w:right w:val="single" w:color="auto" w:sz="4" w:space="0"/>
            </w:tcBorders>
            <w:tcW w:w="615"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养护方案（68分）</w:t>
            </w:r>
            <w:r/>
          </w:p>
        </w:tc>
        <w:tc>
          <w:tcPr>
            <w:tcBorders>
              <w:top w:val="single" w:color="auto" w:sz="4" w:space="0"/>
              <w:left w:val="single" w:color="auto" w:sz="4" w:space="0"/>
              <w:bottom w:val="single" w:color="auto" w:sz="4" w:space="0"/>
              <w:right w:val="single" w:color="auto" w:sz="4" w:space="0"/>
            </w:tcBorders>
            <w:tcW w:w="3996" w:type="pct"/>
            <w:vAlign w:val="center"/>
            <w:textDirection w:val="lrTb"/>
            <w:noWrap w:val="false"/>
          </w:tcPr>
          <w:p>
            <w:pPr>
              <w:jc w:val="left"/>
              <w:spacing w:line="360" w:lineRule="auto"/>
              <w:widowControl/>
              <w:rPr>
                <w:rFonts w:hint="eastAsia" w:asciiTheme="minorEastAsia" w:hAnsiTheme="minorEastAsia" w:eastAsiaTheme="minorEastAsia" w:cstheme="minorEastAsia"/>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 xml:space="preserve">一、养护管理方案，包括下列3项：</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1、投标人投标前自行踏勘现场对项目现场的理解、认知，投标人对项目需求的理解。提供本方案的得基本分3分，未提供的该评审要点不得分。另评标委员会根据方案内容的完整性、合理性等方面进行评审加分。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方案完整，与现场完全符合的得2分；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方案不够完整，与现场不完全符合的得1分。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本项最高得5分。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2、结合本区设施基本情况，制定地下管网设施日常养护方案及计划，包括巡查制度、常见质量问题分析、养护维修处置措施、质量保证措施、安全文明施工措施、交通维护措施以及和交通管理部门的协调、协作方案等。</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提供本方案的得基本分6分，未提供的该评审要点不得分。另评标委员会根据方案内容的针对性、合理性、科学性、可操作性等方面进行评审加分。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方案清晰、详细、全面，各项措施安排科学合理，有针对性，操作性强的得4分；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方案不够清晰、详细，各项措施合理安排基本符合要求的得2分；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方案欠缺，各项措施合理安排不太符合要求的得1分；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本项最高得10分。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3、针对本项目各种不同作业条件、环境因素制定完整的道路安全围护方案，包括施工前、施工中、施工后道路施工安全围护的方案。</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提供本方案的得基本分3分，未提供的该评审要点不得分。另评标委员会根据方案内容的完整性、针对性、合理性、科学性、可操作性等方面进行评审加分。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方案完整，合理、可行、有针对性的得2分；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方案一般，针对性不强的得1分；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方案较差，无可操作性的得0分。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本项最高得5分。</w:t>
            </w:r>
            <w:r/>
          </w:p>
          <w:p>
            <w:pPr>
              <w:jc w:val="left"/>
              <w:spacing w:line="360" w:lineRule="auto"/>
              <w:widowControl/>
              <w:rPr>
                <w:rFonts w:hint="eastAsia" w:asciiTheme="minorEastAsia" w:hAnsiTheme="minorEastAsia" w:eastAsiaTheme="minorEastAsia" w:cstheme="minorEastAsia"/>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 xml:space="preserve">二、应急响应方案：</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包括防汛防台、抗雪防冻、市民投诉、“12345”服务热线、突发事件应急处理及重大活动保障的人员配备、物资储备和启动、应急处置等方案。</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提供本方案的得基本分6分，未提供的该评审要点不得分。另评标委员会根据方案内容的完整性、针对性、合理性、科学性、可操作性等方面进行评审加分。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应急响应方案完整、科学、合理、针对性及可操作性强的得5分；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应急响应方案基本完整、较合理、针对性及可操作性较强的得3分；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应急响应方案不完整、不太合理、没有针对性及可操作性的得1分。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本项最高得11分。</w:t>
            </w:r>
            <w:r/>
          </w:p>
          <w:p>
            <w:pPr>
              <w:jc w:val="left"/>
              <w:spacing w:line="360" w:lineRule="auto"/>
              <w:widowControl/>
              <w:rPr>
                <w:rFonts w:hint="eastAsia" w:asciiTheme="minorEastAsia" w:hAnsiTheme="minorEastAsia" w:eastAsiaTheme="minorEastAsia" w:cstheme="minorEastAsia"/>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 xml:space="preserve">三、养护考核方案：</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包括内部管理制度、考核监督制度、奖惩制度等。</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提供本方案的得基本分3分，未提供的该评审要点不得分。另评标委员会根据方案内容的完整性、针对性、科学性、可操作性等方面进行评审加分。 </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养护考核方案科学合理、具有针对性及可操作性的得2分；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养护考核方案较合理、针对性及可操作性不强的得1分；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本项最高得5分。</w:t>
            </w:r>
            <w:r/>
          </w:p>
          <w:p>
            <w:pPr>
              <w:jc w:val="left"/>
              <w:spacing w:line="360" w:lineRule="auto"/>
              <w:widowControl/>
              <w:rPr>
                <w:rFonts w:hint="eastAsia" w:asciiTheme="minorEastAsia" w:hAnsiTheme="minorEastAsia" w:eastAsiaTheme="minorEastAsia" w:cstheme="minorEastAsia"/>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 xml:space="preserve">四、资料管理方案：</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日常养护、维修、检测、技术状况评价等资料的整理归档方案是否符合相关规范要求，是否响应将相关数据及时、准确录入监管部门的道路管理系统，达到项目预定要求。</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提供本方案的得基本分3分，未提供的该评审要点不得分。另评标委员会根据方案内容的完整性、针对性、合理性、操作性等方面进行评审加分。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资料管理方案科学合理、具有针对性及可操作性、准确性的得2分；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资料管理方案较合理、针对性及可操作性不强、基本准确的得1分。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本项最高得5分。</w:t>
            </w:r>
            <w:r/>
          </w:p>
          <w:p>
            <w:pPr>
              <w:jc w:val="left"/>
              <w:spacing w:line="360" w:lineRule="auto"/>
              <w:widowControl/>
              <w:rPr>
                <w:rFonts w:hint="eastAsia" w:asciiTheme="minorEastAsia" w:hAnsiTheme="minorEastAsia" w:eastAsiaTheme="minorEastAsia" w:cstheme="minorEastAsia"/>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 xml:space="preserve">五、新产品、新技术应用于养护方案：</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有针对各类养护问题需采用养护维修工艺或处理方法，养护管理、作业方案有创新等。</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提供本方案的得基本分1分，未提供的该评审要点不得分。另评标委员会根据方案内容的完整性、针对性、创新性等方面进行评审加分。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新技术具有健全、稳定、成熟可行的方案及优化建议，养护管理、作业方案有技术创新的得2分；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新技术方案基本满足要求的得1分。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本项最高得3分。</w:t>
            </w:r>
            <w:r/>
          </w:p>
          <w:p>
            <w:pPr>
              <w:numPr>
                <w:ilvl w:val="0"/>
                <w:numId w:val="0"/>
              </w:numPr>
              <w:jc w:val="left"/>
              <w:spacing w:line="360" w:lineRule="auto"/>
              <w:widowControl/>
              <w:rPr>
                <w:rFonts w:hint="eastAsia" w:asciiTheme="minorEastAsia" w:hAnsiTheme="minorEastAsia" w:eastAsiaTheme="minorEastAsia" w:cstheme="minorEastAsia"/>
                <w:b/>
                <w:bCs/>
                <w:color w:val="000000" w:themeColor="text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lang w:val="en-US" w:eastAsia="zh-CN"/>
                <w14:textFill>
                  <w14:solidFill>
                    <w14:schemeClr w14:val="tx1"/>
                  </w14:solidFill>
                </w14:textFill>
              </w:rPr>
              <w:t xml:space="preserve">六、养护资源配置：</w:t>
            </w:r>
            <w:r/>
          </w:p>
          <w:p>
            <w:pPr>
              <w:numPr>
                <w:ilvl w:val="0"/>
                <w:numId w:val="0"/>
              </w:num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1）根据本项目采购需求、实施特点等因素，配备与本采购需求（至少包括但不限于项目负责人、技术负责人、专职安全员、管道养护工（包括但不限于下水道养护工、潜水员、潜水安全员、有毒有害有限空间作业证））要求的项目部组成人员表的得基本分1分，未提供的或未按采购需求提供的，该评审要点不得分也不另行加分。</w:t>
            </w:r>
            <w:r/>
          </w:p>
          <w:p>
            <w:pPr>
              <w:numPr>
                <w:ilvl w:val="0"/>
                <w:numId w:val="0"/>
              </w:num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另评标委员会根据人员组成表中的证书进行评审加分。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部组成人员表中每提供一个与所配置专业（不含职称证）相关的证书得0.5分。</w:t>
            </w:r>
            <w:r/>
          </w:p>
          <w:p>
            <w:pPr>
              <w:pStyle w:val="713"/>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本项最高得9分</w:t>
            </w:r>
            <w:r/>
          </w:p>
          <w:p>
            <w:pPr>
              <w:jc w:val="left"/>
              <w:spacing w:line="360" w:lineRule="auto"/>
              <w:widowControl/>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注：</w:t>
            </w:r>
            <w:r/>
          </w:p>
          <w:p>
            <w:pPr>
              <w:numPr>
                <w:ilvl w:val="0"/>
                <w:numId w:val="0"/>
              </w:num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auto"/>
                <w:szCs w:val="21"/>
                <w:lang w:val="en-US" w:eastAsia="zh-CN"/>
              </w:rPr>
              <w:t xml:space="preserve">①</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上述人员投标时须提供项目部组成人员表（格式自拟）；</w:t>
            </w:r>
            <w:r/>
          </w:p>
          <w:p>
            <w:pPr>
              <w:numPr>
                <w:ilvl w:val="0"/>
                <w:numId w:val="0"/>
              </w:num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②须提供人员有效的相关证书</w:t>
            </w:r>
            <w:r>
              <w:rPr>
                <w:rFonts w:hint="eastAsia" w:asciiTheme="minorEastAsia" w:hAnsiTheme="minorEastAsia" w:eastAsiaTheme="minorEastAsia" w:cstheme="minorEastAsia"/>
                <w:color w:val="000000" w:themeColor="text1"/>
                <w:lang w:val="en-GB" w:eastAsia="zh-CN"/>
                <w14:textFill>
                  <w14:solidFill>
                    <w14:schemeClr w14:val="tx1"/>
                  </w14:solidFill>
                </w14:textFill>
              </w:rPr>
              <w:t xml:space="preserve">原件扫描件</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lang w:val="en-GB" w:eastAsia="zh-CN"/>
                <w14:textFill>
                  <w14:solidFill>
                    <w14:schemeClr w14:val="tx1"/>
                  </w14:solidFill>
                </w14:textFill>
              </w:rPr>
              <w:t xml:space="preserve">未按要求提供和不提供的均不得分。</w:t>
            </w:r>
            <w:r/>
          </w:p>
          <w:p>
            <w:pPr>
              <w:numPr>
                <w:ilvl w:val="0"/>
                <w:numId w:val="0"/>
              </w:numPr>
              <w:jc w:val="left"/>
              <w:spacing w:line="360" w:lineRule="auto"/>
              <w:widowControl/>
              <w:rPr>
                <w:rFonts w:hint="eastAsia" w:asciiTheme="minorEastAsia" w:hAnsiTheme="minorEastAsia" w:eastAsiaTheme="minorEastAsia" w:cstheme="minorEastAsia"/>
                <w:color w:val="000000" w:themeColor="text1"/>
                <w:lang w:val="en-GB"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③</w:t>
            </w:r>
            <w:r>
              <w:rPr>
                <w:rFonts w:hint="eastAsia" w:asciiTheme="minorEastAsia" w:hAnsiTheme="minorEastAsia" w:eastAsiaTheme="minorEastAsia" w:cstheme="minorEastAsia"/>
                <w:color w:val="000000" w:themeColor="text1"/>
                <w:lang w:val="en-GB" w:eastAsia="zh-CN"/>
                <w14:textFill>
                  <w14:solidFill>
                    <w14:schemeClr w14:val="tx1"/>
                  </w14:solidFill>
                </w14:textFill>
              </w:rPr>
              <w:t xml:space="preserve">须保证拟派人员均为各单位的正式职工，投标人与以上人员签订的劳动合同原件扫描件，</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以及投标人为其缴纳的近三个月内任意一个月的社保证明材料</w:t>
            </w:r>
            <w:r>
              <w:rPr>
                <w:rFonts w:hint="eastAsia" w:asciiTheme="minorEastAsia" w:hAnsiTheme="minorEastAsia" w:eastAsiaTheme="minorEastAsia" w:cstheme="minorEastAsia"/>
                <w:color w:val="000000" w:themeColor="text1"/>
                <w:lang w:val="en-GB" w:eastAsia="zh-CN"/>
                <w14:textFill>
                  <w14:solidFill>
                    <w14:schemeClr w14:val="tx1"/>
                  </w14:solidFill>
                </w14:textFill>
              </w:rPr>
              <w:t xml:space="preserve">，未按要求提供和不提供的均不得分。</w:t>
            </w:r>
            <w:r/>
          </w:p>
          <w:p>
            <w:pPr>
              <w:numPr>
                <w:ilvl w:val="0"/>
                <w:numId w:val="0"/>
              </w:num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④同一人员不重复计算。</w:t>
            </w:r>
            <w:r/>
          </w:p>
          <w:p>
            <w:pPr>
              <w:numPr>
                <w:ilvl w:val="0"/>
                <w:numId w:val="2"/>
              </w:numPr>
              <w:jc w:val="left"/>
              <w:spacing w:line="360" w:lineRule="auto"/>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根据本项目采购需求、实施特点等因素，提供与本采购需求（至少包括但不限于下水道疏通清洗车2辆、吸污车2辆、管道CCTV检测设备3套、高清管道内窥镜或者管道潜望镜（QV）检测设备3套、声纳检测设备2套）要求的拟投入现场的车辆、设备等配备一览表的得基本分1分，未提供的或未按采购需求</w:t>
            </w:r>
            <w:r>
              <w:rPr>
                <w:rFonts w:hint="eastAsia" w:asciiTheme="minorEastAsia" w:hAnsiTheme="minorEastAsia" w:eastAsiaTheme="minorEastAsia" w:cstheme="minorEastAsia"/>
                <w:color w:val="auto"/>
                <w:lang w:val="en-US" w:eastAsia="zh-CN"/>
              </w:rPr>
              <w:t xml:space="preserve">提供的，该评审要点不得分也不另行加分。</w:t>
            </w:r>
            <w:r/>
          </w:p>
          <w:p>
            <w:pPr>
              <w:numPr>
                <w:ilvl w:val="0"/>
                <w:numId w:val="0"/>
              </w:numPr>
              <w:jc w:val="left"/>
              <w:spacing w:line="360" w:lineRule="auto"/>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另评标委员会根据投标人拟投入现场的车辆、设备等自有或租赁进行评审加分。</w:t>
            </w:r>
            <w:r/>
          </w:p>
          <w:p>
            <w:pPr>
              <w:numPr>
                <w:ilvl w:val="0"/>
                <w:numId w:val="0"/>
              </w:numPr>
              <w:jc w:val="left"/>
              <w:spacing w:line="360" w:lineRule="auto"/>
              <w:widowControl/>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highlight w:val="none"/>
                <w:lang w:val="en-US" w:eastAsia="zh-CN"/>
              </w:rPr>
              <w:t xml:space="preserve">车辆、设备等配备一览表中每提供一辆/台/套自有设备得1分；每提供一辆/台/套租赁设备得0.5分。</w:t>
            </w:r>
            <w:r/>
          </w:p>
          <w:p>
            <w:pPr>
              <w:pStyle w:val="713"/>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本项最高得15分</w:t>
            </w:r>
            <w:r/>
          </w:p>
          <w:p>
            <w:pPr>
              <w:spacing w:line="400" w:lineRule="exact"/>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注：投标人自有的设施设备须提供购买车辆或设备全款发票（发票日期不得晚于开标日期）、车辆照片、车辆行驶证、车辆保单的原件扫描件；投标人租赁的车辆或设备须提供有效的租赁合同、车辆照片、车辆行驶证、车辆保单的原件扫描件。</w:t>
            </w:r>
            <w:r>
              <w:rPr>
                <w:rFonts w:hint="eastAsia" w:asciiTheme="minorEastAsia" w:hAnsiTheme="minorEastAsia" w:eastAsiaTheme="minorEastAsia" w:cstheme="minorEastAsia"/>
                <w:color w:val="000000" w:themeColor="text1"/>
                <w:lang w:val="en-GB" w:eastAsia="zh-CN"/>
                <w14:textFill>
                  <w14:solidFill>
                    <w14:schemeClr w14:val="tx1"/>
                  </w14:solidFill>
                </w14:textFill>
              </w:rPr>
              <w:t xml:space="preserve">未按要求提供</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齐全</w:t>
            </w:r>
            <w:r>
              <w:rPr>
                <w:rFonts w:hint="eastAsia" w:asciiTheme="minorEastAsia" w:hAnsiTheme="minorEastAsia" w:eastAsiaTheme="minorEastAsia" w:cstheme="minorEastAsia"/>
                <w:color w:val="000000" w:themeColor="text1"/>
                <w:lang w:val="en-GB" w:eastAsia="zh-CN"/>
                <w14:textFill>
                  <w14:solidFill>
                    <w14:schemeClr w14:val="tx1"/>
                  </w14:solidFill>
                </w14:textFill>
              </w:rPr>
              <w:t xml:space="preserve">和不提供的均不得分。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养护方案不得超过160页，每超过1页扣0.1分。</w:t>
            </w:r>
            <w:r/>
          </w:p>
        </w:tc>
      </w:tr>
      <w:tr>
        <w:trPr>
          <w:jc w:val="center"/>
          <w:trHeight w:val="24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安全生产管理(6分）</w:t>
            </w:r>
            <w:r/>
          </w:p>
        </w:tc>
        <w:tc>
          <w:tcPr>
            <w:tcBorders>
              <w:top w:val="single" w:color="auto" w:sz="4" w:space="0"/>
              <w:left w:val="single" w:color="auto" w:sz="4" w:space="0"/>
              <w:bottom w:val="single" w:color="auto" w:sz="4" w:space="0"/>
              <w:right w:val="single" w:color="auto" w:sz="4" w:space="0"/>
            </w:tcBorders>
            <w:tcW w:w="3996"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制订安全生产管理制度（其中包含员工安全教育管理制度、主要作业过程中的安全 生产、管理制度及文明作业管理等），提供本方案的得基本分3分，未提供该评审要点不得分。另评标委员会根据管理制度的完整性、针对性、合理性等方面进行评审加分。</w:t>
            </w:r>
            <w:r/>
          </w:p>
          <w:p>
            <w:pPr>
              <w:jc w:val="left"/>
              <w:spacing w:line="360" w:lineRule="auto"/>
              <w:widowControl/>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制度完整、科学、详细、职责分明的得3分；</w:t>
            </w:r>
            <w:r/>
          </w:p>
          <w:p>
            <w:pPr>
              <w:jc w:val="left"/>
              <w:spacing w:line="360" w:lineRule="auto"/>
              <w:widowControl/>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制度基本完整、基本合理、可行的得2分；</w:t>
            </w:r>
            <w:r/>
          </w:p>
          <w:p>
            <w:pPr>
              <w:jc w:val="left"/>
              <w:spacing w:line="360" w:lineRule="auto"/>
              <w:widowControl/>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制度不够完善、可操作性不强、职责不明的得1分；</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t xml:space="preserve">本项最高得6分。</w:t>
            </w:r>
            <w:r/>
          </w:p>
        </w:tc>
      </w:tr>
      <w:tr>
        <w:trPr>
          <w:jc w:val="center"/>
          <w:trHeight w:val="244"/>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商务部分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履约能力（2分）</w:t>
            </w:r>
            <w:r/>
          </w:p>
        </w:tc>
        <w:tc>
          <w:tcPr>
            <w:shd w:val="clear" w:color="auto" w:fill="auto"/>
            <w:tcBorders>
              <w:top w:val="single" w:color="auto" w:sz="4" w:space="0"/>
              <w:left w:val="single" w:color="auto" w:sz="4" w:space="0"/>
              <w:bottom w:val="single" w:color="auto" w:sz="4" w:space="0"/>
              <w:right w:val="single" w:color="auto" w:sz="4" w:space="0"/>
            </w:tcBorders>
            <w:tcW w:w="3996"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根据本项目采购需求、实施特点等因素，投标人须在项目实施前，配备与本招标项目相适应的固定办公场所、机械设备及材料堆放场地等。各投标人可在投标时提供加盖投标单位公章的承诺函，承诺内容包括但不限于：若中标，保证在履约前向甲方提供符合上述要求的固定办公场所、机械设备及材料堆放场地等的证明材料原件及复印件，否则甲方有权没收履约保证金，并自愿接受政府采购监督管理机构和有关行政监督部门依法给予的行政处罚（处理），作为不良行为在政府采购网进行公示，并依法承担相应责任。</w:t>
            </w:r>
            <w:r/>
          </w:p>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提供承诺函的得2分，未提供或提供的承诺函偏离采购需求的，不得分。</w:t>
            </w:r>
            <w:r/>
          </w:p>
        </w:tc>
      </w:tr>
      <w:tr>
        <w:trPr>
          <w:jc w:val="center"/>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业绩</w:t>
            </w:r>
            <w:r/>
          </w:p>
          <w:p>
            <w:pPr>
              <w:jc w:val="center"/>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996"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投标人自20</w:t>
            </w: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 xml:space="preserve">21</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年1月以来（以合同签订时间为准）承担</w:t>
            </w: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 xml:space="preserve">雨水管网疏浚养护</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的，每提供一个得1分，本项最高得</w:t>
            </w: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分。</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 xml:space="preserve">提供业绩证明材料的彩色扫描件上传至投标文件中。未提供的不得分。本项最高得2分。</w:t>
            </w:r>
            <w:r/>
          </w:p>
        </w:tc>
      </w:tr>
      <w:tr>
        <w:trPr>
          <w:jc w:val="center"/>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节能环保（2分）</w:t>
            </w:r>
            <w:r/>
          </w:p>
        </w:tc>
        <w:tc>
          <w:tcPr>
            <w:tcBorders>
              <w:top w:val="single" w:color="auto" w:sz="4" w:space="0"/>
              <w:left w:val="single" w:color="auto" w:sz="4" w:space="0"/>
              <w:bottom w:val="single" w:color="auto" w:sz="4" w:space="0"/>
              <w:right w:val="single" w:color="auto" w:sz="4" w:space="0"/>
            </w:tcBorders>
            <w:tcW w:w="3996"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60" w:lineRule="auto"/>
              <w:widowControl/>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713"/>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jc w:val="center"/>
        <w:spacing w:before="79" w:line="220" w:lineRule="auto"/>
        <w:rPr>
          <w:rFonts w:hint="eastAsia" w:ascii="宋体" w:hAnsi="宋体" w:cs="宋体"/>
          <w:color w:val="000000" w:themeColor="text1"/>
          <w:spacing w:val="-1"/>
          <w:sz w:val="24"/>
          <w:szCs w:val="24"/>
          <w:lang w:val="en-US" w:eastAsia="zh-CN"/>
          <w14:textFill>
            <w14:solidFill>
              <w14:schemeClr w14:val="tx1"/>
            </w14:solidFill>
          </w14:textFill>
        </w:rPr>
        <w:outlineLvl w:val="6"/>
      </w:pPr>
      <w:r>
        <w:rPr>
          <w:rFonts w:hint="eastAsia" w:ascii="宋体" w:hAnsi="宋体" w:cs="宋体"/>
          <w:color w:val="000000" w:themeColor="text1"/>
          <w:spacing w:val="-1"/>
          <w:sz w:val="24"/>
          <w:szCs w:val="24"/>
          <w:lang w:val="en-US" w:eastAsia="zh-CN"/>
          <w14:textFill>
            <w14:solidFill>
              <w14:schemeClr w14:val="tx1"/>
            </w14:solidFill>
          </w14:textFill>
        </w:rPr>
      </w:r>
      <w:r/>
    </w:p>
    <w:p>
      <w:pPr>
        <w:jc w:val="center"/>
        <w:spacing w:before="79" w:line="220" w:lineRule="auto"/>
        <w:rPr>
          <w:rFonts w:hint="eastAsia" w:ascii="宋体" w:hAnsi="宋体" w:cs="宋体"/>
          <w:color w:val="000000" w:themeColor="text1"/>
          <w:spacing w:val="-1"/>
          <w:sz w:val="24"/>
          <w:szCs w:val="24"/>
          <w:lang w:val="en-US" w:eastAsia="zh-CN"/>
          <w14:textFill>
            <w14:solidFill>
              <w14:schemeClr w14:val="tx1"/>
            </w14:solidFill>
          </w14:textFill>
        </w:rPr>
        <w:outlineLvl w:val="6"/>
      </w:pPr>
      <w:r>
        <w:rPr>
          <w:rFonts w:hint="eastAsia" w:ascii="宋体" w:hAnsi="宋体" w:cs="宋体"/>
          <w:color w:val="000000" w:themeColor="text1"/>
          <w:spacing w:val="-1"/>
          <w:sz w:val="24"/>
          <w:szCs w:val="24"/>
          <w:lang w:val="en-US" w:eastAsia="zh-CN"/>
          <w14:textFill>
            <w14:solidFill>
              <w14:schemeClr w14:val="tx1"/>
            </w14:solidFill>
          </w14:textFill>
        </w:rPr>
      </w:r>
      <w:r/>
    </w:p>
    <w:p>
      <w:pPr>
        <w:pStyle w:val="707"/>
        <w:jc w:val="center"/>
        <w:spacing w:before="120" w:beforeAutospacing="0" w:after="120" w:afterAutospacing="0"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 xml:space="preserve">采购包七、采购包八评标方法与评标标准</w:t>
      </w:r>
      <w:r/>
    </w:p>
    <w:tbl>
      <w:tblPr>
        <w:tblStyle w:val="71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179"/>
        <w:gridCol w:w="7416"/>
      </w:tblGrid>
      <w:tr>
        <w:trPr/>
        <w:tc>
          <w:tcPr>
            <w:tcW w:w="370" w:type="pct"/>
            <w:vAlign w:val="center"/>
            <w:textDirection w:val="lrTb"/>
            <w:noWrap w:val="false"/>
          </w:tcPr>
          <w:p>
            <w:pPr>
              <w:ind w:right="-275"/>
              <w:jc w:val="both"/>
              <w:spacing w:line="360" w:lineRule="auto"/>
              <w:widowControl/>
              <w:rPr>
                <w:rFonts w:hint="eastAsia" w:cs="宋体" w:asciiTheme="majorEastAsia" w:hAnsiTheme="majorEastAsia" w:eastAsiaTheme="majorEastAsia"/>
                <w:b/>
                <w:color w:val="000000" w:themeColor="text1"/>
                <w:sz w:val="21"/>
                <w:szCs w:val="21"/>
                <w:vertAlign w:val="baseline"/>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序号</w:t>
            </w:r>
            <w:r/>
          </w:p>
        </w:tc>
        <w:tc>
          <w:tcPr>
            <w:tcW w:w="635" w:type="pct"/>
            <w:vAlign w:val="center"/>
            <w:textDirection w:val="lrTb"/>
            <w:noWrap w:val="false"/>
          </w:tcPr>
          <w:p>
            <w:pPr>
              <w:ind w:right="-275"/>
              <w:jc w:val="both"/>
              <w:spacing w:line="360" w:lineRule="auto"/>
              <w:widowControl/>
              <w:rPr>
                <w:rFonts w:hint="eastAsia" w:cs="宋体" w:asciiTheme="majorEastAsia" w:hAnsiTheme="majorEastAsia" w:eastAsiaTheme="majorEastAsia"/>
                <w:b/>
                <w:color w:val="000000" w:themeColor="text1"/>
                <w:sz w:val="21"/>
                <w:szCs w:val="21"/>
                <w:vertAlign w:val="baseline"/>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评分因素</w:t>
            </w:r>
            <w:r/>
          </w:p>
        </w:tc>
        <w:tc>
          <w:tcPr>
            <w:tcW w:w="3994" w:type="pct"/>
            <w:vAlign w:val="center"/>
            <w:textDirection w:val="lrTb"/>
            <w:noWrap w:val="false"/>
          </w:tcPr>
          <w:p>
            <w:pPr>
              <w:ind w:right="-275"/>
              <w:jc w:val="center"/>
              <w:spacing w:line="360" w:lineRule="auto"/>
              <w:widowControl/>
              <w:rPr>
                <w:rFonts w:hint="eastAsia" w:cs="宋体" w:asciiTheme="majorEastAsia" w:hAnsiTheme="majorEastAsia" w:eastAsiaTheme="majorEastAsia"/>
                <w:b/>
                <w:color w:val="000000" w:themeColor="text1"/>
                <w:sz w:val="21"/>
                <w:szCs w:val="21"/>
                <w:vertAlign w:val="baseline"/>
                <w14:textFill>
                  <w14:solidFill>
                    <w14:schemeClr w14:val="tx1"/>
                  </w14:solidFill>
                </w14:textFill>
              </w:rPr>
            </w:pPr>
            <w:r>
              <w:rPr>
                <w:rFonts w:hint="eastAsia" w:asciiTheme="majorEastAsia" w:hAnsiTheme="majorEastAsia" w:eastAsiaTheme="majorEastAsia"/>
                <w:b/>
                <w:bCs/>
                <w:color w:val="000000" w:themeColor="text1"/>
                <w:sz w:val="21"/>
                <w:szCs w:val="21"/>
                <w14:textFill>
                  <w14:solidFill>
                    <w14:schemeClr w14:val="tx1"/>
                  </w14:solidFill>
                </w14:textFill>
              </w:rPr>
              <w:t xml:space="preserve">评分标准</w:t>
            </w:r>
            <w:r/>
          </w:p>
        </w:tc>
      </w:tr>
      <w:tr>
        <w:trPr/>
        <w:tc>
          <w:tcPr>
            <w:tcW w:w="370" w:type="pct"/>
            <w:vAlign w:val="center"/>
            <w:textDirection w:val="lrTb"/>
            <w:noWrap w:val="false"/>
          </w:tcPr>
          <w:p>
            <w:pPr>
              <w:ind w:right="-275"/>
              <w:jc w:val="center"/>
              <w:spacing w:line="360" w:lineRule="auto"/>
              <w:widowControl/>
              <w:rPr>
                <w:rFonts w:hint="default"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1</w:t>
            </w:r>
            <w:r/>
          </w:p>
        </w:tc>
        <w:tc>
          <w:tcPr>
            <w:tcW w:w="635" w:type="pct"/>
            <w:vAlign w:val="center"/>
            <w:textDirection w:val="lrTb"/>
            <w:noWrap w:val="false"/>
          </w:tcPr>
          <w:p>
            <w:pPr>
              <w:jc w:val="center"/>
              <w:spacing w:line="360" w:lineRule="auto"/>
              <w:widowControl/>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价格部分（20分）</w:t>
            </w:r>
            <w:r/>
          </w:p>
        </w:tc>
        <w:tc>
          <w:tcPr>
            <w:tcW w:w="3994" w:type="pct"/>
            <w:vAlign w:val="center"/>
            <w:textDirection w:val="lrTb"/>
            <w:noWrap w:val="false"/>
          </w:tcPr>
          <w:p>
            <w:pPr>
              <w:jc w:val="left"/>
              <w:spacing w:line="360" w:lineRule="auto"/>
              <w:widowControl/>
              <w:rPr>
                <w:rFonts w:hint="eastAsia" w:asciiTheme="majorEastAsia" w:hAnsiTheme="majorEastAsia" w:eastAsiaTheme="majorEastAsia"/>
                <w:b/>
                <w:bCs/>
                <w:color w:val="000000" w:themeColor="text1"/>
                <w:sz w:val="21"/>
                <w:szCs w:val="21"/>
                <w14:textFill>
                  <w14:solidFill>
                    <w14:schemeClr w14:val="tx1"/>
                  </w14:solidFill>
                </w14:textFill>
              </w:rPr>
            </w:pPr>
            <w:r>
              <w:rPr>
                <w:rFonts w:hint="eastAsia"/>
                <w:color w:val="000000" w:themeColor="text1"/>
                <w:lang w:val="en-US" w:eastAsia="zh-CN"/>
                <w14:textFill>
                  <w14:solidFill>
                    <w14:schemeClr w14:val="tx1"/>
                  </w14:solidFill>
                </w14:textFill>
              </w:rPr>
              <w:t xml:space="preserve">以进入详细评审的各投标人评标价的最低值为A值，A值价格分为满分，即20分。其他投标人的价格分统一按照以下公式计算：投标人评标价得分=（A/该投标人评标价）*20，得分保留小数点后二位，第三位四舍五入。本项最高得20分。</w:t>
            </w:r>
            <w:r/>
          </w:p>
        </w:tc>
      </w:tr>
      <w:tr>
        <w:trPr/>
        <w:tc>
          <w:tcPr>
            <w:tcW w:w="370" w:type="pct"/>
            <w:vAlign w:val="center"/>
            <w:textDirection w:val="lrTb"/>
            <w:noWrap w:val="false"/>
          </w:tcPr>
          <w:p>
            <w:pPr>
              <w:ind w:right="-275"/>
              <w:jc w:val="both"/>
              <w:spacing w:line="360" w:lineRule="auto"/>
              <w:widowControl/>
              <w:rPr>
                <w:rFonts w:hint="default"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2</w:t>
            </w:r>
            <w:r/>
          </w:p>
        </w:tc>
        <w:tc>
          <w:tcPr>
            <w:tcW w:w="635" w:type="pct"/>
            <w:vAlign w:val="center"/>
            <w:textDirection w:val="lrTb"/>
            <w:noWrap w:val="false"/>
          </w:tcPr>
          <w:p>
            <w:pPr>
              <w:jc w:val="center"/>
              <w:spacing w:line="360" w:lineRule="auto"/>
              <w:widowControl/>
              <w:rPr>
                <w:rFonts w:hint="default"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养护方案（68分）</w:t>
            </w:r>
            <w:r/>
          </w:p>
        </w:tc>
        <w:tc>
          <w:tcPr>
            <w:tcW w:w="3994" w:type="pct"/>
            <w:vAlign w:val="center"/>
            <w:textDirection w:val="lrTb"/>
            <w:noWrap w:val="false"/>
          </w:tcPr>
          <w:p>
            <w:pPr>
              <w:jc w:val="left"/>
              <w:spacing w:line="360" w:lineRule="auto"/>
              <w:widowControl/>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一、养护管理方案，包括下列2项：</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1、投标人投标前自行踏勘现场对项目现场的理解、认知，投标人对项目需求的理解。</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提供本方案的得基本分6分，未提供的该评审要点不得分。另评标委员会根据方案内容的完整性、合理性等方面进行评审加分。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方案完整，与现场完全符合的得4分；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方案不够完整，与现场基本符合的得2分。</w:t>
            </w:r>
            <w:r/>
          </w:p>
          <w:p>
            <w:pPr>
              <w:jc w:val="left"/>
              <w:spacing w:line="360" w:lineRule="auto"/>
              <w:widowControl/>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方案不够完整，与现场不太符合的得1分。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本项最高得10分。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结合现场基本情况，制定交通设施养护方案及计划，包括对养护范围内城市道路交通安全设施进行日常巡查、对因交通事故、自然灾害、锈蚀等因素所损坏的标志、标牌标线等各类交通安全设施维修处置措施、质量保证措施、安全文明施工措施、以及和交通管理部门的协调、协作方案等。</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提供本方案的得基本分6分，未提供的该评审要点不得分。另评标委员会根据方案内容的针对性、合理性、科学性、可操作性等方面进行评审加分。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方案清晰、详细、全面，各项措施安排科学合理，有针对性，操作性强的得4分；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方案不够清晰、详细，各项措施合理安排基本符合要求的得2分；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方案欠缺，各项措施合理安排不太符合要求的得1分；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本项最高得10分。</w:t>
            </w:r>
            <w:r/>
          </w:p>
          <w:p>
            <w:pPr>
              <w:jc w:val="left"/>
              <w:spacing w:line="360" w:lineRule="auto"/>
              <w:widowControl/>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二、应急响应方案：</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包括防汛防台、抗雪防冻、市民投诉、“12345”服务热线、突发事件应急处理及重大活动保障的人员配备、物资储备和启动、应急处置等方案。</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提供本方案的得基本分6分，未提供的该评审要点不得分。另评标委员会根据方案内容的完整性、针对性、合理性、科学性、可操作性等方面进行评审加分。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应急响应方案完整、科学、合理、针对性及可操作性强的得5分；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应急响应方案基本完整、较合理、针对性及可操作性较强的得3分；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应急响应方案不完整、不太合理、没有针对性及可操作性的得1分。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本项最高得11分。</w:t>
            </w:r>
            <w:r/>
          </w:p>
          <w:p>
            <w:pPr>
              <w:jc w:val="left"/>
              <w:spacing w:line="360" w:lineRule="auto"/>
              <w:widowControl/>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三、养护考核方案：</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包括内部管理制度、考核监督制度、奖惩制度等。</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提供本方案的得基本分5分，未提供的该评审要点不得分。另评标委员会根据方案内容的完整性、针对性、科学性、可操作性等方面进行评审加分。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养护考核方案科学合理、具有针对性及可操作性的得3分；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养护考核方案较合理、针对性及可操作性不强的得2分；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本项最高得8分。</w:t>
            </w:r>
            <w:r/>
          </w:p>
          <w:p>
            <w:pPr>
              <w:jc w:val="left"/>
              <w:spacing w:line="360" w:lineRule="auto"/>
              <w:widowControl/>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四、资料管理方案：</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日常养护、维修、检测、技术状况评价等资料的整理归档方案是否符合相关规范要求，是否响应将相关数据及时、准确录入监管部门的道路管理系统，达到项目预定要求。</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提供本方案的得基本分5分，未提供的该评审要点不得分。另评标委员会根据方案内容的完整性、针对性、合理性、操作性等方面进行评审加分。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资料管理方案科学合理、具有针对性及可操作性、准确性的得2分；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资料管理方案较合理、针对性及可操作性不强、基本准确的得1分。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本项最高得7分。</w:t>
            </w:r>
            <w:r/>
          </w:p>
          <w:p>
            <w:pPr>
              <w:jc w:val="left"/>
              <w:spacing w:line="360" w:lineRule="auto"/>
              <w:widowControl/>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五、新产品、新技术应用于养护方案：</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有针对各类养护问题需采用不同的养护维修工艺或处理方法，养护管理、作业方案有创新等。</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提供本方案的得基本分3分，未提供的该评审要点不得分。另评标委员会根据方案内容的完整性、针对性、创新性等方面进行评审加分。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新技术具有健全、稳定、成熟可行的方案及优化建议，养护管理、作业方案有技术创新的得2分；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新技术方案基本满足要求的得1分。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本项最高得5分</w:t>
            </w:r>
            <w:r/>
          </w:p>
          <w:p>
            <w:pPr>
              <w:numPr>
                <w:ilvl w:val="0"/>
                <w:numId w:val="0"/>
              </w:numPr>
              <w:jc w:val="left"/>
              <w:spacing w:line="360" w:lineRule="auto"/>
              <w:widowControl/>
              <w:rPr>
                <w:rFonts w:hint="eastAsia" w:cs="Times New Roman"/>
                <w:b/>
                <w:bCs/>
                <w:color w:val="000000" w:themeColor="text1"/>
                <w:lang w:val="en-US" w:eastAsia="zh-CN"/>
                <w14:textFill>
                  <w14:solidFill>
                    <w14:schemeClr w14:val="tx1"/>
                  </w14:solidFill>
                </w14:textFill>
              </w:rPr>
            </w:pPr>
            <w:r>
              <w:rPr>
                <w:rFonts w:hint="eastAsia" w:cs="Times New Roman"/>
                <w:b/>
                <w:bCs/>
                <w:color w:val="000000" w:themeColor="text1"/>
                <w:lang w:val="en-US" w:eastAsia="zh-CN"/>
                <w14:textFill>
                  <w14:solidFill>
                    <w14:schemeClr w14:val="tx1"/>
                  </w14:solidFill>
                </w14:textFill>
              </w:rPr>
              <w:t xml:space="preserve">六、养护资源配置：</w:t>
            </w:r>
            <w:r/>
          </w:p>
          <w:p>
            <w:pPr>
              <w:numPr>
                <w:ilvl w:val="0"/>
                <w:numId w:val="0"/>
              </w:numPr>
              <w:jc w:val="left"/>
              <w:spacing w:line="360" w:lineRule="auto"/>
              <w:widowControl/>
              <w:rPr>
                <w:rFonts w:hint="eastAsia"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（1）</w:t>
            </w:r>
            <w:r>
              <w:rPr>
                <w:rFonts w:hint="eastAsia" w:ascii="Times New Roman" w:hAnsi="Times New Roman" w:cs="Times New Roman"/>
                <w:color w:val="000000" w:themeColor="text1"/>
                <w:lang w:val="en-US" w:eastAsia="zh-CN"/>
                <w14:textFill>
                  <w14:solidFill>
                    <w14:schemeClr w14:val="tx1"/>
                  </w14:solidFill>
                </w14:textFill>
              </w:rPr>
              <w:t xml:space="preserve">根据本项目采购需求、实施特点等因素，配备与本采购需求（至少包括但不限于项目负责人、技术负责人、专职安全员、管理人员、巡护员等）要求的项目部组成人员表的得基本分1分，未提供的或未按采购需求提供的，该评审要点不得分</w:t>
            </w:r>
            <w:r>
              <w:rPr>
                <w:rFonts w:hint="eastAsia" w:cs="Times New Roman"/>
                <w:color w:val="000000" w:themeColor="text1"/>
                <w:lang w:val="en-US" w:eastAsia="zh-CN"/>
                <w14:textFill>
                  <w14:solidFill>
                    <w14:schemeClr w14:val="tx1"/>
                  </w14:solidFill>
                </w14:textFill>
              </w:rPr>
              <w:t xml:space="preserve">也不另行加分</w:t>
            </w:r>
            <w:r>
              <w:rPr>
                <w:rFonts w:hint="eastAsia" w:ascii="Times New Roman" w:hAnsi="Times New Roman" w:cs="Times New Roman"/>
                <w:color w:val="000000" w:themeColor="text1"/>
                <w:lang w:val="en-US" w:eastAsia="zh-CN"/>
                <w14:textFill>
                  <w14:solidFill>
                    <w14:schemeClr w14:val="tx1"/>
                  </w14:solidFill>
                </w14:textFill>
              </w:rPr>
              <w:t xml:space="preserve">。</w:t>
            </w:r>
            <w:r/>
          </w:p>
          <w:p>
            <w:pPr>
              <w:numPr>
                <w:ilvl w:val="0"/>
                <w:numId w:val="0"/>
              </w:numPr>
              <w:jc w:val="left"/>
              <w:spacing w:line="360" w:lineRule="auto"/>
              <w:widowControl/>
              <w:rPr>
                <w:rFonts w:hint="eastAsia"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另评标委员会根据</w:t>
            </w:r>
            <w:r>
              <w:rPr>
                <w:rFonts w:hint="eastAsia" w:cs="Times New Roman"/>
                <w:color w:val="000000" w:themeColor="text1"/>
                <w:lang w:val="en-US" w:eastAsia="zh-CN"/>
                <w14:textFill>
                  <w14:solidFill>
                    <w14:schemeClr w14:val="tx1"/>
                  </w14:solidFill>
                </w14:textFill>
              </w:rPr>
              <w:t xml:space="preserve">人员组成表中的证书</w:t>
            </w:r>
            <w:r>
              <w:rPr>
                <w:rFonts w:hint="eastAsia" w:ascii="Times New Roman" w:hAnsi="Times New Roman" w:cs="Times New Roman"/>
                <w:color w:val="000000" w:themeColor="text1"/>
                <w:lang w:val="en-US" w:eastAsia="zh-CN"/>
                <w14:textFill>
                  <w14:solidFill>
                    <w14:schemeClr w14:val="tx1"/>
                  </w14:solidFill>
                </w14:textFill>
              </w:rPr>
              <w:t xml:space="preserve">进行评审加分。</w:t>
            </w:r>
            <w:r/>
          </w:p>
          <w:p>
            <w:pPr>
              <w:jc w:val="left"/>
              <w:spacing w:line="360" w:lineRule="auto"/>
              <w:widowControl/>
              <w:rPr>
                <w:rFonts w:hint="eastAsia" w:cs="Times New Roman"/>
                <w:color w:val="000000" w:themeColor="text1"/>
                <w:lang w:val="en-US" w:eastAsia="zh-CN"/>
                <w14:textFill>
                  <w14:solidFill>
                    <w14:schemeClr w14:val="tx1"/>
                  </w14:solidFill>
                </w14:textFill>
              </w:rPr>
            </w:pPr>
            <w:r>
              <w:rPr>
                <w:rFonts w:hint="eastAsia" w:eastAsia="宋体" w:cs="Times New Roman"/>
                <w:color w:val="000000" w:themeColor="text1"/>
                <w:lang w:eastAsia="zh-CN"/>
                <w14:textFill>
                  <w14:solidFill>
                    <w14:schemeClr w14:val="tx1"/>
                  </w14:solidFill>
                </w14:textFill>
              </w:rPr>
              <w:t xml:space="preserve">项目</w:t>
            </w:r>
            <w:r>
              <w:rPr>
                <w:rFonts w:hint="eastAsia" w:eastAsia="宋体" w:cs="Times New Roman"/>
                <w:color w:val="000000" w:themeColor="text1"/>
                <w:lang w:val="en-US" w:eastAsia="zh-CN"/>
                <w14:textFill>
                  <w14:solidFill>
                    <w14:schemeClr w14:val="tx1"/>
                  </w14:solidFill>
                </w14:textFill>
              </w:rPr>
              <w:t xml:space="preserve">部组成人员</w:t>
            </w:r>
            <w:r>
              <w:rPr>
                <w:rFonts w:hint="eastAsia" w:cs="Times New Roman"/>
                <w:color w:val="000000" w:themeColor="text1"/>
                <w:lang w:val="en-US" w:eastAsia="zh-CN"/>
                <w14:textFill>
                  <w14:solidFill>
                    <w14:schemeClr w14:val="tx1"/>
                  </w14:solidFill>
                </w14:textFill>
              </w:rPr>
              <w:t xml:space="preserve">中每提供一个与交通或公路专业类（不含职称证）相关的证书得0.5分。</w:t>
            </w:r>
            <w:r/>
          </w:p>
          <w:p>
            <w:pPr>
              <w:pStyle w:val="713"/>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本项最高得</w:t>
            </w:r>
            <w:r>
              <w:rPr>
                <w:rFonts w:hint="eastAsia" w:cs="Times New Roman"/>
                <w:color w:val="000000" w:themeColor="text1"/>
                <w:sz w:val="21"/>
                <w:szCs w:val="21"/>
                <w:lang w:val="en-US" w:eastAsia="zh-CN" w:bidi="ar-SA"/>
                <w14:textFill>
                  <w14:solidFill>
                    <w14:schemeClr w14:val="tx1"/>
                  </w14:solidFill>
                </w14:textFill>
              </w:rPr>
              <w:t xml:space="preserve">6</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分</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注：</w:t>
            </w:r>
            <w:r/>
          </w:p>
          <w:p>
            <w:pPr>
              <w:numPr>
                <w:ilvl w:val="0"/>
                <w:numId w:val="0"/>
              </w:numPr>
              <w:jc w:val="left"/>
              <w:spacing w:line="360" w:lineRule="auto"/>
              <w:widowControl/>
              <w:rPr>
                <w:rFonts w:hint="eastAsia" w:ascii="Times New Roman" w:hAnsi="Times New Roman" w:cs="Times New Roman"/>
                <w:color w:val="000000" w:themeColor="text1"/>
                <w:lang w:val="en-US" w:eastAsia="zh-CN"/>
                <w14:textFill>
                  <w14:solidFill>
                    <w14:schemeClr w14:val="tx1"/>
                  </w14:solidFill>
                </w14:textFill>
              </w:rPr>
            </w:pPr>
            <w:r>
              <w:rPr>
                <w:rFonts w:hint="eastAsia" w:ascii="宋体" w:hAnsi="宋体" w:cs="宋体"/>
                <w:color w:val="auto"/>
                <w:szCs w:val="21"/>
                <w:lang w:val="en-US" w:eastAsia="zh-CN"/>
              </w:rPr>
              <w:t xml:space="preserve">①</w:t>
            </w:r>
            <w:r>
              <w:rPr>
                <w:rFonts w:hint="eastAsia" w:ascii="Times New Roman" w:hAnsi="Times New Roman" w:cs="Times New Roman"/>
                <w:color w:val="000000" w:themeColor="text1"/>
                <w:lang w:val="en-US" w:eastAsia="zh-CN"/>
                <w14:textFill>
                  <w14:solidFill>
                    <w14:schemeClr w14:val="tx1"/>
                  </w14:solidFill>
                </w14:textFill>
              </w:rPr>
              <w:t xml:space="preserve">上述人员投标时须提供项目部组成人员表（格式自拟）；</w:t>
            </w:r>
            <w:r/>
          </w:p>
          <w:p>
            <w:pPr>
              <w:numPr>
                <w:ilvl w:val="0"/>
                <w:numId w:val="0"/>
              </w:numPr>
              <w:jc w:val="left"/>
              <w:spacing w:line="360" w:lineRule="auto"/>
              <w:widowControl/>
              <w:rPr>
                <w:rFonts w:hint="eastAsia"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②须提供人员有效的相关证书</w:t>
            </w:r>
            <w:r>
              <w:rPr>
                <w:rFonts w:hint="eastAsia" w:ascii="Times New Roman" w:hAnsi="Times New Roman" w:cs="Times New Roman"/>
                <w:color w:val="000000" w:themeColor="text1"/>
                <w:lang w:val="en-GB" w:eastAsia="zh-CN"/>
                <w14:textFill>
                  <w14:solidFill>
                    <w14:schemeClr w14:val="tx1"/>
                  </w14:solidFill>
                </w14:textFill>
              </w:rPr>
              <w:t xml:space="preserve">原件扫描件</w:t>
            </w:r>
            <w:r>
              <w:rPr>
                <w:rFonts w:hint="eastAsia" w:ascii="Times New Roman" w:hAnsi="Times New Roman" w:cs="Times New Roman"/>
                <w:color w:val="000000" w:themeColor="text1"/>
                <w:lang w:val="en-US" w:eastAsia="zh-CN"/>
                <w14:textFill>
                  <w14:solidFill>
                    <w14:schemeClr w14:val="tx1"/>
                  </w14:solidFill>
                </w14:textFill>
              </w:rPr>
              <w:t xml:space="preserve">；</w:t>
            </w:r>
            <w:r>
              <w:rPr>
                <w:rFonts w:hint="eastAsia" w:ascii="Times New Roman" w:hAnsi="Times New Roman" w:cs="Times New Roman"/>
                <w:color w:val="000000" w:themeColor="text1"/>
                <w:lang w:val="en-GB" w:eastAsia="zh-CN"/>
                <w14:textFill>
                  <w14:solidFill>
                    <w14:schemeClr w14:val="tx1"/>
                  </w14:solidFill>
                </w14:textFill>
              </w:rPr>
              <w:t xml:space="preserve">未按要求提供和不提供的均不得分。</w:t>
            </w:r>
            <w:r/>
          </w:p>
          <w:p>
            <w:pPr>
              <w:numPr>
                <w:ilvl w:val="0"/>
                <w:numId w:val="0"/>
              </w:numPr>
              <w:jc w:val="left"/>
              <w:spacing w:line="360" w:lineRule="auto"/>
              <w:widowControl/>
              <w:rPr>
                <w:rFonts w:hint="eastAsia" w:ascii="Times New Roman" w:hAnsi="Times New Roman" w:cs="Times New Roman"/>
                <w:color w:val="000000" w:themeColor="text1"/>
                <w:lang w:val="en-GB"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③</w:t>
            </w:r>
            <w:r>
              <w:rPr>
                <w:rFonts w:hint="eastAsia" w:ascii="Times New Roman" w:hAnsi="Times New Roman" w:cs="Times New Roman"/>
                <w:color w:val="000000" w:themeColor="text1"/>
                <w:lang w:val="en-GB" w:eastAsia="zh-CN"/>
                <w14:textFill>
                  <w14:solidFill>
                    <w14:schemeClr w14:val="tx1"/>
                  </w14:solidFill>
                </w14:textFill>
              </w:rPr>
              <w:t xml:space="preserve">须保证拟派人员均为各单位的正式职工，投标人与以上人员签订的劳动合同原件扫描件，</w:t>
            </w:r>
            <w:r>
              <w:rPr>
                <w:rFonts w:hint="eastAsia" w:ascii="Times New Roman" w:hAnsi="Times New Roman" w:cs="Times New Roman"/>
                <w:color w:val="000000" w:themeColor="text1"/>
                <w:lang w:val="en-US" w:eastAsia="zh-CN"/>
                <w14:textFill>
                  <w14:solidFill>
                    <w14:schemeClr w14:val="tx1"/>
                  </w14:solidFill>
                </w14:textFill>
              </w:rPr>
              <w:t xml:space="preserve">以及投标人为其缴纳的近三个月内任意一个月的社保证明材料</w:t>
            </w:r>
            <w:r>
              <w:rPr>
                <w:rFonts w:hint="eastAsia" w:ascii="Times New Roman" w:hAnsi="Times New Roman" w:cs="Times New Roman"/>
                <w:color w:val="000000" w:themeColor="text1"/>
                <w:lang w:val="en-GB" w:eastAsia="zh-CN"/>
                <w14:textFill>
                  <w14:solidFill>
                    <w14:schemeClr w14:val="tx1"/>
                  </w14:solidFill>
                </w14:textFill>
              </w:rPr>
              <w:t xml:space="preserve">，未按要求提供和不提供的均不得分。</w:t>
            </w:r>
            <w:r/>
          </w:p>
          <w:p>
            <w:pPr>
              <w:numPr>
                <w:ilvl w:val="0"/>
                <w:numId w:val="0"/>
              </w:numPr>
              <w:jc w:val="left"/>
              <w:spacing w:line="360" w:lineRule="auto"/>
              <w:widowControl/>
              <w:rPr>
                <w:rFonts w:hint="eastAsia"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④同一人员不重复计算。</w:t>
            </w:r>
            <w:r/>
          </w:p>
          <w:p>
            <w:pPr>
              <w:numPr>
                <w:ilvl w:val="0"/>
                <w:numId w:val="0"/>
              </w:numPr>
              <w:jc w:val="left"/>
              <w:spacing w:line="360" w:lineRule="auto"/>
              <w:widowControl/>
              <w:rPr>
                <w:rFonts w:hint="eastAsia" w:ascii="Times New Roman" w:hAnsi="Times New Roman" w:cs="Times New Roman"/>
                <w:color w:val="auto"/>
                <w:lang w:val="en-US" w:eastAsia="zh-CN"/>
              </w:rPr>
            </w:pPr>
            <w:r>
              <w:rPr>
                <w:rFonts w:hint="eastAsia" w:cs="Times New Roman"/>
                <w:color w:val="000000" w:themeColor="text1"/>
                <w:lang w:val="en-US" w:eastAsia="zh-CN"/>
                <w14:textFill>
                  <w14:solidFill>
                    <w14:schemeClr w14:val="tx1"/>
                  </w14:solidFill>
                </w14:textFill>
              </w:rPr>
              <w:t xml:space="preserve">（2）</w:t>
            </w:r>
            <w:r>
              <w:rPr>
                <w:rFonts w:hint="eastAsia" w:ascii="Times New Roman" w:hAnsi="Times New Roman" w:cs="Times New Roman"/>
                <w:color w:val="000000" w:themeColor="text1"/>
                <w:lang w:val="en-US" w:eastAsia="zh-CN"/>
                <w14:textFill>
                  <w14:solidFill>
                    <w14:schemeClr w14:val="tx1"/>
                  </w14:solidFill>
                </w14:textFill>
              </w:rPr>
              <w:t xml:space="preserve">根据本项目采购需求、实施特点等因素，提供与本采购需求（至少包括但不限于</w:t>
            </w:r>
            <w:r>
              <w:rPr>
                <w:rFonts w:hint="eastAsia" w:eastAsia="宋体" w:cs="Times New Roman"/>
                <w:color w:val="000000" w:themeColor="text1"/>
                <w:lang w:val="en-US" w:eastAsia="zh-CN"/>
                <w14:textFill>
                  <w14:solidFill>
                    <w14:schemeClr w14:val="tx1"/>
                  </w14:solidFill>
                </w14:textFill>
              </w:rPr>
              <w:t xml:space="preserve">汽车式起重机、升降车、路面划线车、载货汽车</w:t>
            </w:r>
            <w:r>
              <w:rPr>
                <w:rFonts w:hint="eastAsia" w:ascii="Times New Roman" w:hAnsi="Times New Roman" w:cs="Times New Roman"/>
                <w:color w:val="000000" w:themeColor="text1"/>
                <w:lang w:val="en-US" w:eastAsia="zh-CN"/>
                <w14:textFill>
                  <w14:solidFill>
                    <w14:schemeClr w14:val="tx1"/>
                  </w14:solidFill>
                </w14:textFill>
              </w:rPr>
              <w:t xml:space="preserve">）要求的拟投入现场的车辆</w:t>
            </w:r>
            <w:r>
              <w:rPr>
                <w:rFonts w:hint="eastAsia" w:ascii="Times New Roman" w:hAnsi="Times New Roman" w:cs="Times New Roman"/>
                <w:color w:val="auto"/>
                <w:lang w:val="en-US" w:eastAsia="zh-CN"/>
              </w:rPr>
              <w:t xml:space="preserve">、设备等配备一览表的得基本分1分，未提供的或未按采购需求提供的，该评审要点不得分也不另行加分。另评标委员会根据</w:t>
            </w:r>
            <w:r>
              <w:rPr>
                <w:rFonts w:hint="eastAsia" w:cs="Times New Roman"/>
                <w:color w:val="auto"/>
                <w:lang w:val="en-US" w:eastAsia="zh-CN"/>
              </w:rPr>
              <w:t xml:space="preserve">投标人</w:t>
            </w:r>
            <w:r>
              <w:rPr>
                <w:rFonts w:hint="eastAsia" w:ascii="Times New Roman" w:hAnsi="Times New Roman" w:cs="Times New Roman"/>
                <w:color w:val="auto"/>
                <w:lang w:val="en-US" w:eastAsia="zh-CN"/>
              </w:rPr>
              <w:t xml:space="preserve">拟投入现场的车辆、设备等</w:t>
            </w:r>
            <w:r>
              <w:rPr>
                <w:rFonts w:hint="eastAsia" w:cs="Times New Roman"/>
                <w:color w:val="auto"/>
                <w:lang w:val="en-US" w:eastAsia="zh-CN"/>
              </w:rPr>
              <w:t xml:space="preserve">自有或租赁</w:t>
            </w:r>
            <w:r>
              <w:rPr>
                <w:rFonts w:hint="eastAsia" w:ascii="Times New Roman" w:hAnsi="Times New Roman" w:cs="Times New Roman"/>
                <w:color w:val="auto"/>
                <w:lang w:val="en-US" w:eastAsia="zh-CN"/>
              </w:rPr>
              <w:t xml:space="preserve">进行评审加分。</w:t>
            </w:r>
            <w:r/>
          </w:p>
          <w:p>
            <w:pPr>
              <w:numPr>
                <w:ilvl w:val="0"/>
                <w:numId w:val="0"/>
              </w:numPr>
              <w:jc w:val="left"/>
              <w:spacing w:line="360" w:lineRule="auto"/>
              <w:widowControl/>
              <w:rPr>
                <w:rFonts w:hint="eastAsia" w:cs="Times New Roman"/>
                <w:color w:val="auto"/>
                <w:highlight w:val="none"/>
                <w:lang w:val="en-US" w:eastAsia="zh-CN"/>
              </w:rPr>
            </w:pPr>
            <w:r>
              <w:rPr>
                <w:rFonts w:hint="eastAsia" w:ascii="Times New Roman" w:hAnsi="Times New Roman" w:cs="Times New Roman"/>
                <w:color w:val="auto"/>
                <w:highlight w:val="none"/>
                <w:lang w:val="en-US" w:eastAsia="zh-CN"/>
              </w:rPr>
              <w:t xml:space="preserve">车辆、设备等配备一览表中</w:t>
            </w:r>
            <w:r>
              <w:rPr>
                <w:rFonts w:hint="eastAsia" w:cs="Times New Roman"/>
                <w:color w:val="auto"/>
                <w:highlight w:val="none"/>
                <w:lang w:val="en-US" w:eastAsia="zh-CN"/>
              </w:rPr>
              <w:t xml:space="preserve">每提供一辆/台/套自有设备得1分；每提供一辆/台/套租赁设备得0.5分。</w:t>
            </w:r>
            <w:r/>
          </w:p>
          <w:p>
            <w:pPr>
              <w:pStyle w:val="713"/>
              <w:rPr>
                <w:rFonts w:hint="eastAsia"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本项最高得</w:t>
            </w:r>
            <w:r>
              <w:rPr>
                <w:rFonts w:hint="eastAsia" w:cs="Times New Roman"/>
                <w:color w:val="000000" w:themeColor="text1"/>
                <w:sz w:val="21"/>
                <w:szCs w:val="21"/>
                <w:lang w:val="en-US" w:eastAsia="zh-CN" w:bidi="ar-SA"/>
                <w14:textFill>
                  <w14:solidFill>
                    <w14:schemeClr w14:val="tx1"/>
                  </w14:solidFill>
                </w14:textFill>
              </w:rPr>
              <w:t xml:space="preserve">11</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分</w:t>
            </w:r>
            <w:r/>
          </w:p>
          <w:p>
            <w:pPr>
              <w:numPr>
                <w:ilvl w:val="0"/>
                <w:numId w:val="0"/>
              </w:numPr>
              <w:jc w:val="left"/>
              <w:spacing w:line="360" w:lineRule="auto"/>
              <w:widowControl/>
              <w:rPr>
                <w:rFonts w:hint="default" w:cs="Times New Roman"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注：投标人自有的设施设备须提供购买车辆或设备</w:t>
            </w:r>
            <w:r>
              <w:rPr>
                <w:rFonts w:hint="eastAsia" w:cs="Times New Roman"/>
                <w:color w:val="000000" w:themeColor="text1"/>
                <w:lang w:val="en-US" w:eastAsia="zh-CN"/>
                <w14:textFill>
                  <w14:solidFill>
                    <w14:schemeClr w14:val="tx1"/>
                  </w14:solidFill>
                </w14:textFill>
              </w:rPr>
              <w:t xml:space="preserve">全款</w:t>
            </w:r>
            <w:r>
              <w:rPr>
                <w:rFonts w:hint="eastAsia" w:ascii="Times New Roman" w:hAnsi="Times New Roman" w:cs="Times New Roman"/>
                <w:color w:val="000000" w:themeColor="text1"/>
                <w:lang w:val="en-US" w:eastAsia="zh-CN"/>
                <w14:textFill>
                  <w14:solidFill>
                    <w14:schemeClr w14:val="tx1"/>
                  </w14:solidFill>
                </w14:textFill>
              </w:rPr>
              <w:t xml:space="preserve">发票（发票日期不得晚于</w:t>
            </w:r>
            <w:r>
              <w:rPr>
                <w:rFonts w:hint="eastAsia" w:cs="Times New Roman"/>
                <w:color w:val="000000" w:themeColor="text1"/>
                <w:lang w:val="en-US" w:eastAsia="zh-CN"/>
                <w14:textFill>
                  <w14:solidFill>
                    <w14:schemeClr w14:val="tx1"/>
                  </w14:solidFill>
                </w14:textFill>
              </w:rPr>
              <w:t xml:space="preserve">开标</w:t>
            </w:r>
            <w:r>
              <w:rPr>
                <w:rFonts w:hint="eastAsia" w:ascii="Times New Roman" w:hAnsi="Times New Roman" w:cs="Times New Roman"/>
                <w:color w:val="000000" w:themeColor="text1"/>
                <w:lang w:val="en-US" w:eastAsia="zh-CN"/>
                <w14:textFill>
                  <w14:solidFill>
                    <w14:schemeClr w14:val="tx1"/>
                  </w14:solidFill>
                </w14:textFill>
              </w:rPr>
              <w:t xml:space="preserve">日期）、车辆照片、车辆行驶证、车辆保单</w:t>
            </w:r>
            <w:r>
              <w:rPr>
                <w:rFonts w:hint="eastAsia" w:cs="Times New Roman"/>
                <w:color w:val="000000" w:themeColor="text1"/>
                <w:lang w:val="en-US" w:eastAsia="zh-CN"/>
                <w14:textFill>
                  <w14:solidFill>
                    <w14:schemeClr w14:val="tx1"/>
                  </w14:solidFill>
                </w14:textFill>
              </w:rPr>
              <w:t xml:space="preserve">的原件扫描件</w:t>
            </w:r>
            <w:r>
              <w:rPr>
                <w:rFonts w:hint="eastAsia" w:ascii="Times New Roman" w:hAnsi="Times New Roman" w:cs="Times New Roman"/>
                <w:color w:val="000000" w:themeColor="text1"/>
                <w:lang w:val="en-US" w:eastAsia="zh-CN"/>
                <w14:textFill>
                  <w14:solidFill>
                    <w14:schemeClr w14:val="tx1"/>
                  </w14:solidFill>
                </w14:textFill>
              </w:rPr>
              <w:t xml:space="preserve">；投标人租赁的车辆或设备须提供有效的租赁合同、车辆照片、车辆行驶证、车辆保单</w:t>
            </w:r>
            <w:r>
              <w:rPr>
                <w:rFonts w:hint="eastAsia" w:cs="Times New Roman"/>
                <w:color w:val="000000" w:themeColor="text1"/>
                <w:lang w:val="en-US" w:eastAsia="zh-CN"/>
                <w14:textFill>
                  <w14:solidFill>
                    <w14:schemeClr w14:val="tx1"/>
                  </w14:solidFill>
                </w14:textFill>
              </w:rPr>
              <w:t xml:space="preserve">的原件扫描</w:t>
            </w:r>
            <w:r>
              <w:rPr>
                <w:rFonts w:hint="eastAsia" w:ascii="Times New Roman" w:hAnsi="Times New Roman" w:eastAsia="宋体" w:cs="Times New Roman"/>
                <w:color w:val="000000" w:themeColor="text1"/>
                <w:lang w:val="en-US" w:eastAsia="zh-CN"/>
                <w14:textFill>
                  <w14:solidFill>
                    <w14:schemeClr w14:val="tx1"/>
                  </w14:solidFill>
                </w14:textFill>
              </w:rPr>
              <w:t xml:space="preserve">件。</w:t>
            </w:r>
            <w:r>
              <w:rPr>
                <w:rFonts w:hint="eastAsia" w:ascii="Times New Roman" w:hAnsi="Times New Roman" w:eastAsia="宋体" w:cs="Times New Roman"/>
                <w:color w:val="000000" w:themeColor="text1"/>
                <w:lang w:val="en-GB" w:eastAsia="zh-CN"/>
                <w14:textFill>
                  <w14:solidFill>
                    <w14:schemeClr w14:val="tx1"/>
                  </w14:solidFill>
                </w14:textFill>
              </w:rPr>
              <w:t xml:space="preserve">未按要求提供和不提供的均不得分。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养护方案不得超过160页，每超过1页扣0.1分。</w:t>
            </w:r>
            <w:r/>
          </w:p>
        </w:tc>
      </w:tr>
      <w:tr>
        <w:trPr/>
        <w:tc>
          <w:tcPr>
            <w:tcW w:w="370" w:type="pct"/>
            <w:vAlign w:val="center"/>
            <w:textDirection w:val="lrTb"/>
            <w:noWrap w:val="false"/>
          </w:tcPr>
          <w:p>
            <w:pPr>
              <w:ind w:right="-275"/>
              <w:jc w:val="both"/>
              <w:spacing w:line="360" w:lineRule="auto"/>
              <w:widowControl/>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3</w:t>
            </w:r>
            <w:r/>
          </w:p>
        </w:tc>
        <w:tc>
          <w:tcPr>
            <w:tcW w:w="635" w:type="pct"/>
            <w:vAlign w:val="center"/>
            <w:textDirection w:val="lrTb"/>
            <w:noWrap w:val="false"/>
          </w:tcPr>
          <w:p>
            <w:pPr>
              <w:jc w:val="left"/>
              <w:spacing w:line="360" w:lineRule="auto"/>
              <w:widowControl/>
              <w:rPr>
                <w:rFonts w:hint="eastAsia"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安全生产管理（</w:t>
            </w: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6</w:t>
            </w:r>
            <w:r>
              <w:rPr>
                <w:rFonts w:hint="eastAsia" w:asciiTheme="majorEastAsia" w:hAnsiTheme="majorEastAsia" w:eastAsiaTheme="majorEastAsia"/>
                <w:color w:val="000000" w:themeColor="text1"/>
                <w:sz w:val="21"/>
                <w:szCs w:val="21"/>
                <w14:textFill>
                  <w14:solidFill>
                    <w14:schemeClr w14:val="tx1"/>
                  </w14:solidFill>
                </w14:textFill>
              </w:rPr>
              <w:t xml:space="preserve">分）</w:t>
            </w:r>
            <w:r/>
          </w:p>
        </w:tc>
        <w:tc>
          <w:tcPr>
            <w:tcW w:w="3994" w:type="pct"/>
            <w:vAlign w:val="center"/>
            <w:textDirection w:val="lrTb"/>
            <w:noWrap w:val="false"/>
          </w:tcPr>
          <w:p>
            <w:pPr>
              <w:jc w:val="left"/>
              <w:spacing w:line="360" w:lineRule="auto"/>
              <w:widowControl/>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t xml:space="preserve">制订安全生产管理制度（其中包含员工安全教育管理制度、主要作业过程中的安全生产、管理制度及文明作业管理等），提供本方案的得基本分3分，未提供的该评审要点不得分。另评标委员会根据管理制度的完整性、针对性、合理性等方面进行评审加分。</w:t>
            </w:r>
            <w:r/>
          </w:p>
          <w:p>
            <w:pPr>
              <w:jc w:val="left"/>
              <w:spacing w:line="360" w:lineRule="auto"/>
              <w:widowControl/>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t xml:space="preserve">制度完整、科学、详细、职责分明的得3分；</w:t>
            </w:r>
            <w:r/>
          </w:p>
          <w:p>
            <w:pPr>
              <w:jc w:val="left"/>
              <w:spacing w:line="360" w:lineRule="auto"/>
              <w:widowControl/>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t xml:space="preserve">制度基本完整、基本合理、可行的得2 分；</w:t>
            </w:r>
            <w:r/>
          </w:p>
          <w:p>
            <w:pPr>
              <w:jc w:val="left"/>
              <w:spacing w:line="360" w:lineRule="auto"/>
              <w:widowControl/>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t xml:space="preserve">制度不够完善、可操作性不强、职责不明的得1 分；</w:t>
            </w:r>
            <w:r/>
          </w:p>
          <w:p>
            <w:pPr>
              <w:jc w:val="left"/>
              <w:spacing w:line="360" w:lineRule="auto"/>
              <w:widowControl/>
              <w:rPr>
                <w:rFonts w:hint="eastAsia" w:ascii="Times New Roman" w:hAnsi="Times New Roman" w:cs="Times New Roman"/>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本项最高得6分</w:t>
            </w:r>
            <w:r/>
          </w:p>
        </w:tc>
      </w:tr>
      <w:tr>
        <w:trPr/>
        <w:tc>
          <w:tcPr>
            <w:gridSpan w:val="3"/>
            <w:tcW w:w="5000" w:type="pct"/>
            <w:vAlign w:val="center"/>
            <w:textDirection w:val="lrTb"/>
            <w:noWrap w:val="false"/>
          </w:tcPr>
          <w:p>
            <w:pPr>
              <w:jc w:val="center"/>
              <w:spacing w:line="360" w:lineRule="auto"/>
              <w:widowControl/>
              <w:rPr>
                <w:rFonts w:hint="default" w:ascii="Times New Roman" w:hAnsi="Times New Roman"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 xml:space="preserve">商务部分</w:t>
            </w:r>
            <w:r/>
          </w:p>
        </w:tc>
      </w:tr>
      <w:tr>
        <w:trPr/>
        <w:tc>
          <w:tcPr>
            <w:tcW w:w="370" w:type="pct"/>
            <w:vAlign w:val="center"/>
            <w:textDirection w:val="lrTb"/>
            <w:noWrap w:val="false"/>
          </w:tcPr>
          <w:p>
            <w:pPr>
              <w:ind w:right="-275"/>
              <w:jc w:val="center"/>
              <w:spacing w:line="360" w:lineRule="auto"/>
              <w:widowControl/>
              <w:rPr>
                <w:rFonts w:hint="default"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4</w:t>
            </w:r>
            <w:r/>
          </w:p>
        </w:tc>
        <w:tc>
          <w:tcPr>
            <w:tcW w:w="635" w:type="pct"/>
            <w:vAlign w:val="center"/>
            <w:textDirection w:val="lrTb"/>
            <w:noWrap w:val="false"/>
          </w:tcPr>
          <w:p>
            <w:pPr>
              <w:jc w:val="center"/>
              <w:spacing w:line="360" w:lineRule="auto"/>
              <w:widowControl/>
              <w:rPr>
                <w:rFonts w:hint="eastAsia"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履约能力</w:t>
            </w:r>
            <w:r/>
          </w:p>
          <w:p>
            <w:pPr>
              <w:jc w:val="center"/>
              <w:spacing w:line="360" w:lineRule="auto"/>
              <w:widowControl/>
              <w:rPr>
                <w:rFonts w:hint="eastAsia"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（2分）</w:t>
            </w:r>
            <w:r/>
          </w:p>
        </w:tc>
        <w:tc>
          <w:tcPr>
            <w:tcW w:w="3994" w:type="pct"/>
            <w:vAlign w:val="center"/>
            <w:textDirection w:val="lrTb"/>
            <w:noWrap w:val="false"/>
          </w:tcPr>
          <w:p>
            <w:pPr>
              <w:jc w:val="left"/>
              <w:spacing w:line="360" w:lineRule="auto"/>
              <w:widowControl/>
              <w:rPr>
                <w:rFonts w:hint="eastAsia"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根据本项目采购需求、实施特点等因素，投标人须在项目实施前，配备与本招标项目相适应的固定办公场所、机械设备及材料堆放场地等。各投标人可在投标时提供加盖投标单位公章的承诺函，承诺内容包括但不限于：若中标，保证在履约前向甲方提供符合上述要求的固定办公场所、机械设备及材料堆放场地等的证明材料原件及复印件，否则甲方有权没收履约保证金，并自愿接受政府采购监督管理机构和有关行政监督部门依法给予的行政处罚（处理），作为不良行为在政府采购网进行公示，并依法承担相应责任。</w:t>
            </w:r>
            <w:r/>
          </w:p>
          <w:p>
            <w:pPr>
              <w:jc w:val="left"/>
              <w:spacing w:line="360" w:lineRule="auto"/>
              <w:widowControl/>
              <w:rPr>
                <w:rFonts w:hint="default" w:cs="Times New Roman"/>
                <w:color w:val="000000" w:themeColor="text1"/>
                <w:lang w:val="en-US"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 xml:space="preserve">提供承诺函的得</w:t>
            </w:r>
            <w:r>
              <w:rPr>
                <w:rFonts w:hint="eastAsia" w:cs="Times New Roman"/>
                <w:color w:val="000000" w:themeColor="text1"/>
                <w:lang w:val="en-US" w:eastAsia="zh-CN"/>
                <w14:textFill>
                  <w14:solidFill>
                    <w14:schemeClr w14:val="tx1"/>
                  </w14:solidFill>
                </w14:textFill>
              </w:rPr>
              <w:t xml:space="preserve">2</w:t>
            </w:r>
            <w:r>
              <w:rPr>
                <w:rFonts w:hint="eastAsia" w:ascii="Times New Roman" w:hAnsi="Times New Roman" w:cs="Times New Roman"/>
                <w:color w:val="000000" w:themeColor="text1"/>
                <w:lang w:val="en-US" w:eastAsia="zh-CN"/>
                <w14:textFill>
                  <w14:solidFill>
                    <w14:schemeClr w14:val="tx1"/>
                  </w14:solidFill>
                </w14:textFill>
              </w:rPr>
              <w:t xml:space="preserve">分</w:t>
            </w:r>
            <w:r>
              <w:rPr>
                <w:rFonts w:hint="eastAsia" w:cs="Times New Roman"/>
                <w:color w:val="000000" w:themeColor="text1"/>
                <w:lang w:val="en-US" w:eastAsia="zh-CN"/>
                <w14:textFill>
                  <w14:solidFill>
                    <w14:schemeClr w14:val="tx1"/>
                  </w14:solidFill>
                </w14:textFill>
              </w:rPr>
              <w:t xml:space="preserve">，未提供或提供的承诺函偏离采购需求的，不得分。</w:t>
            </w:r>
            <w:r/>
          </w:p>
        </w:tc>
      </w:tr>
      <w:tr>
        <w:trPr/>
        <w:tc>
          <w:tcPr>
            <w:tcW w:w="370" w:type="pct"/>
            <w:vAlign w:val="center"/>
            <w:textDirection w:val="lrTb"/>
            <w:noWrap w:val="false"/>
          </w:tcPr>
          <w:p>
            <w:pPr>
              <w:ind w:right="-275"/>
              <w:jc w:val="center"/>
              <w:spacing w:line="360" w:lineRule="auto"/>
              <w:widowControl/>
              <w:rPr>
                <w:rFonts w:hint="default"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5</w:t>
            </w:r>
            <w:r/>
          </w:p>
        </w:tc>
        <w:tc>
          <w:tcPr>
            <w:tcW w:w="635" w:type="pct"/>
            <w:vAlign w:val="center"/>
            <w:textDirection w:val="lrTb"/>
            <w:noWrap w:val="false"/>
          </w:tcPr>
          <w:p>
            <w:pPr>
              <w:jc w:val="center"/>
              <w:spacing w:line="360" w:lineRule="auto"/>
              <w:widowControl/>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业绩</w:t>
            </w:r>
            <w:r/>
          </w:p>
          <w:p>
            <w:pPr>
              <w:jc w:val="center"/>
              <w:spacing w:line="360" w:lineRule="auto"/>
              <w:widowControl/>
              <w:rPr>
                <w:rFonts w:hint="eastAsia"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2</w:t>
            </w:r>
            <w:r>
              <w:rPr>
                <w:rFonts w:hint="eastAsia" w:asciiTheme="majorEastAsia" w:hAnsiTheme="majorEastAsia" w:eastAsiaTheme="majorEastAsia"/>
                <w:color w:val="000000" w:themeColor="text1"/>
                <w:sz w:val="21"/>
                <w:szCs w:val="21"/>
                <w14:textFill>
                  <w14:solidFill>
                    <w14:schemeClr w14:val="tx1"/>
                  </w14:solidFill>
                </w14:textFill>
              </w:rPr>
              <w:t xml:space="preserve">分</w:t>
            </w:r>
            <w:r>
              <w:rPr>
                <w:rFonts w:hint="eastAsia" w:asciiTheme="majorEastAsia" w:hAnsiTheme="majorEastAsia" w:eastAsiaTheme="majorEastAsia"/>
                <w:color w:val="000000" w:themeColor="text1"/>
                <w:sz w:val="21"/>
                <w:szCs w:val="21"/>
                <w:lang w:eastAsia="zh-CN"/>
                <w14:textFill>
                  <w14:solidFill>
                    <w14:schemeClr w14:val="tx1"/>
                  </w14:solidFill>
                </w14:textFill>
              </w:rPr>
              <w:t xml:space="preserve">）</w:t>
            </w:r>
            <w:r/>
          </w:p>
        </w:tc>
        <w:tc>
          <w:tcPr>
            <w:tcW w:w="3994" w:type="pct"/>
            <w:vAlign w:val="center"/>
            <w:textDirection w:val="lrTb"/>
            <w:noWrap w:val="false"/>
          </w:tcPr>
          <w:p>
            <w:pPr>
              <w:jc w:val="left"/>
              <w:spacing w:line="360" w:lineRule="auto"/>
              <w:widowControl/>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t xml:space="preserve">投标人具有2021年1月1日以来类似交通养护设施项目业绩（以合同签订日期为准）每有1个得1分。提供业绩证明材料的彩色扫描件上传至投标文件中。未提供的不得分。</w:t>
            </w:r>
            <w:r/>
          </w:p>
          <w:p>
            <w:pPr>
              <w:jc w:val="left"/>
              <w:spacing w:line="360" w:lineRule="auto"/>
              <w:widowControl/>
              <w:rPr>
                <w:rFonts w:hint="eastAsia"/>
                <w:color w:val="000000" w:themeColor="text1"/>
                <w:lang w:val="en-US" w:eastAsia="zh-CN"/>
                <w14:textFill>
                  <w14:solidFill>
                    <w14:schemeClr w14:val="tx1"/>
                  </w14:solidFill>
                </w14:textFill>
              </w:rPr>
            </w:pPr>
            <w:r>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t xml:space="preserve">本项最高得2分。</w:t>
            </w:r>
            <w:r/>
          </w:p>
        </w:tc>
      </w:tr>
      <w:tr>
        <w:trPr/>
        <w:tc>
          <w:tcPr>
            <w:tcW w:w="370" w:type="pct"/>
            <w:vAlign w:val="center"/>
            <w:textDirection w:val="lrTb"/>
            <w:noWrap w:val="false"/>
          </w:tcPr>
          <w:p>
            <w:pPr>
              <w:ind w:right="-275"/>
              <w:jc w:val="center"/>
              <w:spacing w:line="360" w:lineRule="auto"/>
              <w:widowControl/>
              <w:rPr>
                <w:rFonts w:hint="default"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6</w:t>
            </w:r>
            <w:r/>
          </w:p>
        </w:tc>
        <w:tc>
          <w:tcPr>
            <w:tcW w:w="635" w:type="pct"/>
            <w:vAlign w:val="center"/>
            <w:textDirection w:val="lrTb"/>
            <w:noWrap w:val="false"/>
          </w:tcPr>
          <w:p>
            <w:pPr>
              <w:jc w:val="center"/>
              <w:spacing w:line="360" w:lineRule="auto"/>
              <w:widowControl/>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节能环保（2分）</w:t>
            </w:r>
            <w:r/>
          </w:p>
        </w:tc>
        <w:tc>
          <w:tcPr>
            <w:tcW w:w="3994" w:type="pct"/>
            <w:vAlign w:val="center"/>
            <w:textDirection w:val="lrTb"/>
            <w:noWrap w:val="false"/>
          </w:tcPr>
          <w:p>
            <w:pPr>
              <w:jc w:val="left"/>
              <w:spacing w:line="360" w:lineRule="auto"/>
              <w:widowControl/>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60" w:lineRule="auto"/>
              <w:widowControl/>
              <w:rPr>
                <w:rFonts w:hint="eastAsia" w:cs="Times New Roman" w:asciiTheme="majorEastAsia" w:hAnsiTheme="majorEastAsia" w:eastAsiaTheme="majorEastAsia"/>
                <w:color w:val="000000" w:themeColor="text1"/>
                <w:sz w:val="21"/>
                <w:szCs w:val="21"/>
                <w:lang w:val="en-US" w:eastAsia="zh-CN" w:bidi="ar-SA"/>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482"/>
        <w:jc w:val="left"/>
        <w:pageBreakBefore w:val="0"/>
        <w:spacing w:beforeAutospacing="0" w:afterAutospacing="0" w:line="360" w:lineRule="auto"/>
        <w:widowControl w:val="off"/>
        <w:rPr>
          <w:rFonts w:hint="eastAsia" w:ascii="宋体" w:hAnsi="宋体" w:cs="宋体"/>
          <w:b/>
          <w:sz w:val="22"/>
          <w:szCs w:val="22"/>
        </w:rPr>
      </w:pPr>
      <w:r>
        <w:rPr>
          <w:rFonts w:hint="eastAsia" w:ascii="宋体" w:hAnsi="宋体" w:cs="宋体"/>
          <w:b/>
          <w:sz w:val="22"/>
          <w:szCs w:val="22"/>
        </w:rPr>
        <w:t xml:space="preserve">注：供应商的最终总得分为上述评分因素的总和。</w:t>
      </w:r>
      <w:r/>
    </w:p>
    <w:p>
      <w:pPr>
        <w:ind w:firstLine="480"/>
        <w:jc w:val="left"/>
        <w:pageBreakBefore w:val="0"/>
        <w:spacing w:beforeAutospacing="0" w:afterAutospacing="0" w:line="360" w:lineRule="auto"/>
        <w:widowControl w:val="off"/>
        <w:rPr>
          <w:rFonts w:hint="eastAsia" w:ascii="宋体" w:hAnsi="宋体" w:cs="宋体"/>
          <w:sz w:val="22"/>
          <w:szCs w:val="22"/>
        </w:rPr>
      </w:pPr>
      <w:r/>
      <w:bookmarkStart w:id="168" w:name="_Hlk81817387"/>
      <w:r>
        <w:rPr>
          <w:rFonts w:hint="eastAsia" w:ascii="宋体" w:hAnsi="宋体" w:cs="宋体"/>
          <w:sz w:val="22"/>
          <w:szCs w:val="22"/>
          <w:lang w:val="en-US" w:eastAsia="zh-CN"/>
        </w:rPr>
        <w:t xml:space="preserve">8</w:t>
      </w:r>
      <w:r>
        <w:rPr>
          <w:rFonts w:hint="eastAsia" w:ascii="宋体" w:hAnsi="宋体" w:cs="宋体"/>
          <w:sz w:val="22"/>
          <w:szCs w:val="22"/>
        </w:rPr>
        <w:t xml:space="preserve">、招标人有权在中标公告期间、签约前后等任何环节对相关资料的真实性进行核验，如发现提供虚假资料，招标人将依法取消其中标资格。</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lang w:val="en-US" w:eastAsia="zh-CN"/>
        </w:rPr>
        <w:t xml:space="preserve">9</w:t>
      </w:r>
      <w:r>
        <w:rPr>
          <w:rFonts w:hint="eastAsia" w:ascii="宋体" w:hAnsi="宋体" w:cs="宋体"/>
          <w:sz w:val="22"/>
          <w:szCs w:val="22"/>
        </w:rPr>
        <w:t xml:space="preserve">、评委应记名打分，打分未记名的或未按招标文件规定的评标办法打分的，一律按无效打分处理。各项汇总时，每大项记分保留二位小数（第三位四舍五入）；总得分汇总时保留两位小数（第三位四舍五入）。</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lang w:val="en-US" w:eastAsia="zh-CN"/>
        </w:rPr>
        <w:t xml:space="preserve">10</w:t>
      </w:r>
      <w:r>
        <w:rPr>
          <w:rFonts w:hint="eastAsia" w:ascii="宋体" w:hAnsi="宋体" w:cs="宋体"/>
          <w:sz w:val="22"/>
          <w:szCs w:val="22"/>
        </w:rPr>
        <w:t xml:space="preserve">、在评审过程中，一旦发现招标文件中发现以下现象的，经评标委员会认定，删除该项评审或记分。</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①招标文件内容中某项条款，有明显倾向或歧视的；</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②招标文件内容中某项条款有多种解释的。</w:t>
      </w:r>
      <w:r/>
    </w:p>
    <w:p>
      <w:pPr>
        <w:pStyle w:val="687"/>
        <w:ind w:firstLine="482"/>
        <w:jc w:val="left"/>
        <w:pageBreakBefore w:val="0"/>
        <w:spacing w:before="0" w:beforeAutospacing="0" w:after="0" w:afterAutospacing="0" w:line="360" w:lineRule="auto"/>
        <w:widowControl w:val="off"/>
        <w:tabs>
          <w:tab w:val="left" w:pos="1260" w:leader="none"/>
        </w:tabs>
        <w:rPr>
          <w:rFonts w:hint="eastAsia" w:ascii="宋体" w:hAnsi="宋体" w:cs="宋体"/>
          <w:sz w:val="22"/>
          <w:szCs w:val="22"/>
        </w:rPr>
      </w:pPr>
      <w:r/>
      <w:bookmarkStart w:id="169" w:name="_Toc397928609"/>
      <w:r/>
      <w:bookmarkStart w:id="170" w:name="_Toc5826"/>
      <w:r/>
      <w:bookmarkStart w:id="171" w:name="_Toc27318"/>
      <w:r>
        <w:rPr>
          <w:rFonts w:hint="eastAsia"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、投标文件的澄清和补正</w:t>
      </w:r>
      <w:bookmarkEnd w:id="169"/>
      <w:r/>
      <w:bookmarkEnd w:id="170"/>
      <w:r/>
      <w:bookmarkEnd w:id="171"/>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.2 澄清、说明和补正不得改变投标文件的实质性内容（算术性错误修正的除外）。投标人的书面澄清、说明和补正属于投标文件的组成部分。</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.3 评标委员会对投标人提交的澄清、说明或补正有疑问的，可以要求投标人进一步澄清、说明或补正。</w:t>
      </w:r>
      <w:r/>
    </w:p>
    <w:p>
      <w:pPr>
        <w:pStyle w:val="687"/>
        <w:ind w:firstLine="482"/>
        <w:jc w:val="left"/>
        <w:pageBreakBefore w:val="0"/>
        <w:spacing w:before="0" w:beforeAutospacing="0" w:after="0" w:afterAutospacing="0" w:line="360" w:lineRule="auto"/>
        <w:widowControl w:val="off"/>
        <w:tabs>
          <w:tab w:val="left" w:pos="1260" w:leader="none"/>
        </w:tabs>
        <w:rPr>
          <w:rFonts w:hint="eastAsia" w:ascii="宋体" w:hAnsi="宋体" w:cs="宋体"/>
          <w:b w:val="0"/>
          <w:sz w:val="22"/>
          <w:szCs w:val="22"/>
        </w:rPr>
      </w:pPr>
      <w:r/>
      <w:bookmarkStart w:id="172" w:name="_Toc397928610"/>
      <w:r/>
      <w:bookmarkStart w:id="173" w:name="_Toc29288"/>
      <w:r/>
      <w:bookmarkStart w:id="174" w:name="_Toc11953"/>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、推荐中标候选人或直接确定中标人</w:t>
      </w:r>
      <w:bookmarkEnd w:id="172"/>
      <w:r/>
      <w:bookmarkEnd w:id="173"/>
      <w:r/>
      <w:bookmarkEnd w:id="174"/>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.1评标委员会在推荐中标候选人时，应遵照以下原则:</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.2评标委员会按照最终得分由高至低的次序排列，并采购文件中规定的中标候选人数量，将排序在前的投标人推荐为中标候选人。</w:t>
      </w:r>
      <w:r/>
    </w:p>
    <w:p>
      <w:pPr>
        <w:pStyle w:val="687"/>
        <w:ind w:firstLine="482"/>
        <w:jc w:val="left"/>
        <w:pageBreakBefore w:val="0"/>
        <w:spacing w:before="0" w:beforeAutospacing="0" w:after="0" w:afterAutospacing="0" w:line="360" w:lineRule="auto"/>
        <w:widowControl w:val="off"/>
        <w:tabs>
          <w:tab w:val="left" w:pos="1260" w:leader="none"/>
        </w:tabs>
        <w:rPr>
          <w:rFonts w:hint="eastAsia" w:ascii="宋体" w:hAnsi="宋体" w:cs="宋体"/>
          <w:sz w:val="22"/>
          <w:szCs w:val="22"/>
        </w:rPr>
      </w:pPr>
      <w:r/>
      <w:bookmarkStart w:id="175" w:name="_Toc397928611"/>
      <w:r/>
      <w:bookmarkStart w:id="176" w:name="_Toc12331"/>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、提交评标报告</w:t>
      </w:r>
      <w:bookmarkEnd w:id="175"/>
      <w:r/>
      <w:bookmarkEnd w:id="176"/>
      <w:r>
        <w:rPr>
          <w:rFonts w:hint="eastAsia" w:ascii="宋体" w:hAnsi="宋体" w:cs="宋体"/>
          <w:sz w:val="22"/>
          <w:szCs w:val="22"/>
        </w:rPr>
        <w:t xml:space="preserve"> </w:t>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评标委员会完成评标后，应当向采购人提交书面评标报告。评标报告应当由全体评标委员会成员签字，并于评标结束时抄送有关行政监督部门。</w:t>
      </w:r>
      <w:bookmarkEnd w:id="168"/>
      <w:r/>
      <w:r/>
    </w:p>
    <w:p>
      <w:pPr>
        <w:pStyle w:val="686"/>
        <w:ind w:firstLine="482"/>
        <w:jc w:val="left"/>
        <w:pageBreakBefore w:val="0"/>
        <w:spacing w:before="0" w:beforeAutospacing="0" w:after="0" w:afterAutospacing="0" w:line="360" w:lineRule="auto"/>
        <w:widowControl w:val="off"/>
        <w:tabs>
          <w:tab w:val="left" w:pos="840" w:leader="none"/>
        </w:tabs>
        <w:rPr>
          <w:rFonts w:hint="eastAsia" w:ascii="宋体" w:hAnsi="宋体" w:eastAsia="宋体" w:cs="宋体"/>
          <w:sz w:val="22"/>
          <w:szCs w:val="22"/>
        </w:rPr>
      </w:pPr>
      <w:r/>
      <w:bookmarkStart w:id="177" w:name="_Toc18159"/>
      <w:r>
        <w:rPr>
          <w:rFonts w:hint="eastAsia" w:ascii="宋体" w:hAnsi="宋体" w:eastAsia="宋体" w:cs="宋体"/>
          <w:sz w:val="22"/>
          <w:szCs w:val="22"/>
          <w:lang w:val="en-US" w:eastAsia="zh-CN"/>
        </w:rPr>
        <w:t xml:space="preserve">二</w:t>
      </w:r>
      <w:r>
        <w:rPr>
          <w:rFonts w:hint="eastAsia" w:ascii="宋体" w:hAnsi="宋体" w:eastAsia="宋体" w:cs="宋体"/>
          <w:sz w:val="22"/>
          <w:szCs w:val="22"/>
        </w:rPr>
        <w:t xml:space="preserve">、通用评标规则</w:t>
      </w:r>
      <w:bookmarkEnd w:id="177"/>
      <w:r/>
      <w:r/>
    </w:p>
    <w:p>
      <w:pPr>
        <w:pStyle w:val="687"/>
        <w:ind w:firstLine="482"/>
        <w:jc w:val="left"/>
        <w:pageBreakBefore w:val="0"/>
        <w:spacing w:before="0" w:beforeAutospacing="0" w:after="0" w:afterAutospacing="0" w:line="360" w:lineRule="auto"/>
        <w:widowControl w:val="off"/>
        <w:tabs>
          <w:tab w:val="left" w:pos="1260" w:leader="none"/>
        </w:tabs>
        <w:rPr>
          <w:rFonts w:hint="eastAsia" w:ascii="宋体" w:hAnsi="宋体" w:cs="宋体"/>
          <w:sz w:val="22"/>
          <w:szCs w:val="22"/>
        </w:rPr>
      </w:pPr>
      <w:r/>
      <w:bookmarkStart w:id="178" w:name="_Toc19179"/>
      <w:r>
        <w:rPr>
          <w:rFonts w:hint="eastAsia" w:ascii="宋体" w:hAnsi="宋体" w:cs="宋体"/>
          <w:sz w:val="22"/>
          <w:szCs w:val="22"/>
          <w:lang w:val="en-US" w:eastAsia="zh-CN"/>
        </w:rPr>
        <w:t xml:space="preserve">1</w:t>
      </w:r>
      <w:r>
        <w:rPr>
          <w:rFonts w:hint="eastAsia" w:ascii="宋体" w:hAnsi="宋体" w:cs="宋体"/>
          <w:sz w:val="22"/>
          <w:szCs w:val="22"/>
        </w:rPr>
        <w:t xml:space="preserve">、打分</w:t>
      </w:r>
      <w:bookmarkEnd w:id="178"/>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评审过程中，除招标文件另有规定外，如发现投标文件无相关资料、数据的，经评标委员会认定，可确定其该项不得分（即取消保底分值）。</w:t>
      </w:r>
      <w:r/>
    </w:p>
    <w:p>
      <w:pPr>
        <w:pStyle w:val="687"/>
        <w:ind w:firstLine="482"/>
        <w:jc w:val="left"/>
        <w:pageBreakBefore w:val="0"/>
        <w:spacing w:before="0" w:beforeAutospacing="0" w:after="0" w:afterAutospacing="0" w:line="360" w:lineRule="auto"/>
        <w:widowControl w:val="off"/>
        <w:tabs>
          <w:tab w:val="left" w:pos="1260" w:leader="none"/>
        </w:tabs>
        <w:rPr>
          <w:rFonts w:hint="eastAsia" w:ascii="宋体" w:hAnsi="宋体" w:cs="宋体"/>
          <w:sz w:val="22"/>
          <w:szCs w:val="22"/>
        </w:rPr>
      </w:pPr>
      <w:r/>
      <w:bookmarkStart w:id="179" w:name="_Toc27772"/>
      <w:r>
        <w:rPr>
          <w:rFonts w:hint="eastAsia" w:ascii="宋体" w:hAnsi="宋体" w:cs="宋体"/>
          <w:sz w:val="22"/>
          <w:szCs w:val="22"/>
          <w:lang w:val="en-US" w:eastAsia="zh-CN"/>
        </w:rPr>
        <w:t xml:space="preserve">2</w:t>
      </w:r>
      <w:r>
        <w:rPr>
          <w:rFonts w:hint="eastAsia" w:ascii="宋体" w:hAnsi="宋体" w:cs="宋体"/>
          <w:sz w:val="22"/>
          <w:szCs w:val="22"/>
        </w:rPr>
        <w:t xml:space="preserve">、争议处理</w:t>
      </w:r>
      <w:bookmarkEnd w:id="179"/>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评标中发生重大情况或重大争议，需要进一步调查了解、协调处理的，现场监督人员报招标投标管理部门同意后可暂时休会，待有关问题得到澄清后再行复会。休会期间，所有招投标资料一律封存盐城市大丰区公共资源交易中心评标室，所有与会人员一律不得泄露评标情况。</w:t>
      </w:r>
      <w:r/>
    </w:p>
    <w:p>
      <w:pPr>
        <w:pStyle w:val="687"/>
        <w:ind w:firstLine="482"/>
        <w:jc w:val="left"/>
        <w:pageBreakBefore w:val="0"/>
        <w:spacing w:before="0" w:beforeAutospacing="0" w:after="0" w:afterAutospacing="0" w:line="360" w:lineRule="auto"/>
        <w:widowControl w:val="off"/>
        <w:tabs>
          <w:tab w:val="left" w:pos="1260" w:leader="none"/>
        </w:tabs>
        <w:rPr>
          <w:rFonts w:hint="eastAsia" w:ascii="宋体" w:hAnsi="宋体" w:cs="宋体"/>
          <w:sz w:val="22"/>
          <w:szCs w:val="22"/>
        </w:rPr>
      </w:pPr>
      <w:r/>
      <w:bookmarkStart w:id="180" w:name="_Toc29659"/>
      <w:r>
        <w:rPr>
          <w:rFonts w:hint="eastAsia" w:ascii="宋体" w:hAnsi="宋体" w:cs="宋体"/>
          <w:sz w:val="22"/>
          <w:szCs w:val="22"/>
          <w:lang w:val="en-US" w:eastAsia="zh-CN"/>
        </w:rPr>
        <w:t xml:space="preserve">3</w:t>
      </w:r>
      <w:r>
        <w:rPr>
          <w:rFonts w:hint="eastAsia" w:ascii="宋体" w:hAnsi="宋体" w:cs="宋体"/>
          <w:sz w:val="22"/>
          <w:szCs w:val="22"/>
        </w:rPr>
        <w:t xml:space="preserve">、违法违纪行为</w:t>
      </w:r>
      <w:bookmarkEnd w:id="180"/>
      <w:r/>
      <w:r/>
    </w:p>
    <w:p>
      <w:pPr>
        <w:ind w:firstLine="480"/>
        <w:jc w:val="left"/>
        <w:pageBreakBefore w:val="0"/>
        <w:spacing w:beforeAutospacing="0" w:afterAutospacing="0" w:line="360" w:lineRule="auto"/>
        <w:widowControl w:val="off"/>
        <w:rPr>
          <w:rFonts w:hint="eastAsia" w:ascii="宋体" w:hAnsi="宋体" w:cs="宋体"/>
          <w:sz w:val="22"/>
          <w:szCs w:val="22"/>
        </w:rPr>
      </w:pPr>
      <w:r>
        <w:rPr>
          <w:rFonts w:hint="eastAsia" w:ascii="宋体" w:hAnsi="宋体" w:cs="宋体"/>
          <w:sz w:val="22"/>
          <w:szCs w:val="22"/>
        </w:rPr>
        <w:t xml:space="preserve">在招投标过程中发生行贿受贿、扰乱招投标活动秩序及其他严重违法违纪行为的，一律取消有关责任人参与招投标活动的资格；影响评审结果的，应宣布评审结果无效。</w:t>
      </w:r>
      <w:r/>
    </w:p>
    <w:p>
      <w:pPr>
        <w:ind w:firstLine="482"/>
        <w:jc w:val="left"/>
        <w:pageBreakBefore w:val="0"/>
        <w:spacing w:beforeAutospacing="0" w:afterAutospacing="0" w:line="360" w:lineRule="auto"/>
        <w:widowControl w:val="off"/>
        <w:rPr>
          <w:rFonts w:hint="eastAsia" w:ascii="宋体" w:hAnsi="宋体" w:eastAsia="宋体" w:cs="宋体"/>
          <w:b/>
          <w:sz w:val="24"/>
          <w:szCs w:val="24"/>
        </w:rPr>
      </w:pPr>
      <w:r>
        <w:rPr>
          <w:rFonts w:hint="eastAsia" w:ascii="宋体" w:hAnsi="宋体" w:eastAsia="宋体" w:cs="宋体"/>
          <w:b/>
          <w:sz w:val="22"/>
          <w:szCs w:val="22"/>
          <w:lang w:val="en-US" w:eastAsia="zh-CN"/>
        </w:rPr>
        <w:t xml:space="preserve">4</w:t>
      </w:r>
      <w:r>
        <w:rPr>
          <w:rFonts w:hint="eastAsia" w:ascii="宋体" w:hAnsi="宋体" w:eastAsia="宋体" w:cs="宋体"/>
          <w:b/>
          <w:sz w:val="22"/>
          <w:szCs w:val="22"/>
        </w:rPr>
        <w:t xml:space="preserve">、招标人有权在中标公示期间、签约前后等任何环节对相关资料的真实性进行核验，如发现提供虚假资料，招标人将依法取消其中标资格。</w:t>
      </w:r>
      <w:r/>
    </w:p>
    <w:p>
      <w:pPr>
        <w:pStyle w:val="685"/>
        <w:ind w:right="-275" w:firstLine="420"/>
        <w:jc w:val="both"/>
        <w:rPr>
          <w:rFonts w:asciiTheme="majorEastAsia" w:hAnsiTheme="majorEastAsia" w:eastAsiaTheme="majorEastAsia"/>
          <w:bCs/>
          <w:color w:val="000000" w:themeColor="text1"/>
          <w:sz w:val="32"/>
          <w:szCs w:val="32"/>
          <w14:textFill>
            <w14:solidFill>
              <w14:schemeClr w14:val="tx1"/>
            </w14:solidFill>
          </w14:textFill>
        </w:rPr>
      </w:pPr>
      <w:r>
        <w:rPr>
          <w:rFonts w:asciiTheme="majorEastAsia" w:hAnsiTheme="majorEastAsia" w:eastAsiaTheme="majorEastAsia"/>
          <w:bCs/>
          <w:color w:val="000000" w:themeColor="text1"/>
          <w:sz w:val="21"/>
          <w:szCs w:val="21"/>
          <w14:textFill>
            <w14:solidFill>
              <w14:schemeClr w14:val="tx1"/>
            </w14:solidFill>
          </w14:textFill>
        </w:rPr>
        <w:br w:type="page" w:clear="all"/>
      </w:r>
      <w:bookmarkEnd w:id="162"/>
      <w:r/>
      <w:bookmarkEnd w:id="163"/>
      <w:r/>
      <w:bookmarkEnd w:id="165"/>
      <w:r/>
      <w:bookmarkEnd w:id="166"/>
      <w:r/>
      <w:bookmarkEnd w:id="167"/>
      <w:r/>
      <w:r/>
    </w:p>
    <w:p>
      <w:pPr>
        <w:pStyle w:val="685"/>
        <w:numPr>
          <w:ilvl w:val="0"/>
          <w:numId w:val="0"/>
        </w:numPr>
        <w:ind w:right="-275"/>
        <w:jc w:val="center"/>
        <w:rPr>
          <w:rFonts w:hint="eastAsia" w:asciiTheme="majorEastAsia" w:hAnsiTheme="majorEastAsia" w:eastAsiaTheme="majorEastAsia"/>
          <w:bCs/>
          <w:color w:val="000000" w:themeColor="text1"/>
          <w:sz w:val="44"/>
          <w:szCs w:val="44"/>
          <w14:textFill>
            <w14:solidFill>
              <w14:schemeClr w14:val="tx1"/>
            </w14:solidFill>
          </w14:textFill>
        </w:rPr>
      </w:pPr>
      <w:r>
        <w:rPr>
          <w:rFonts w:hint="eastAsia" w:asciiTheme="majorEastAsia" w:hAnsiTheme="majorEastAsia" w:eastAsiaTheme="majorEastAsia"/>
          <w:bCs/>
          <w:color w:val="000000" w:themeColor="text1"/>
          <w:sz w:val="44"/>
          <w:szCs w:val="44"/>
          <w:lang w:val="en-US" w:eastAsia="zh-CN"/>
          <w14:textFill>
            <w14:solidFill>
              <w14:schemeClr w14:val="tx1"/>
            </w14:solidFill>
          </w14:textFill>
        </w:rPr>
        <w:t xml:space="preserve">第六章 </w:t>
      </w:r>
      <w:r>
        <w:rPr>
          <w:rFonts w:hint="eastAsia" w:asciiTheme="majorEastAsia" w:hAnsiTheme="majorEastAsia" w:eastAsiaTheme="majorEastAsia"/>
          <w:bCs/>
          <w:color w:val="000000" w:themeColor="text1"/>
          <w:sz w:val="44"/>
          <w:szCs w:val="44"/>
          <w14:textFill>
            <w14:solidFill>
              <w14:schemeClr w14:val="tx1"/>
            </w14:solidFill>
          </w14:textFill>
        </w:rPr>
        <w:t xml:space="preserve"> 投标文件格式</w:t>
      </w:r>
      <w:r/>
    </w:p>
    <w:p>
      <w:pPr>
        <w:numPr>
          <w:ilvl w:val="0"/>
          <w:numId w:val="0"/>
        </w:numPr>
        <w:rPr>
          <w:color w:val="000000" w:themeColor="text1"/>
          <w14:textFill>
            <w14:solidFill>
              <w14:schemeClr w14:val="tx1"/>
            </w14:solidFill>
          </w14:textFill>
        </w:rPr>
      </w:pPr>
      <w:r>
        <w:rPr>
          <w:color w:val="000000" w:themeColor="text1"/>
          <w14:textFill>
            <w14:solidFill>
              <w14:schemeClr w14:val="tx1"/>
            </w14:solidFill>
          </w14:textFill>
        </w:rPr>
      </w:r>
      <w:r/>
    </w:p>
    <w:p>
      <w:pPr>
        <w:ind w:right="-275"/>
        <w:jc w:val="center"/>
        <w:rPr>
          <w:rFonts w:asciiTheme="majorEastAsia" w:hAnsiTheme="majorEastAsia" w:eastAsiaTheme="majorEastAsia"/>
          <w:b/>
          <w:color w:val="000000" w:themeColor="text1"/>
          <w:sz w:val="21"/>
          <w:szCs w:val="21"/>
          <w14:textFill>
            <w14:solidFill>
              <w14:schemeClr w14:val="tx1"/>
            </w14:solidFill>
          </w14:textFill>
        </w:rPr>
      </w:pPr>
      <w:r/>
      <w:bookmarkStart w:id="181" w:name="_Hlt26671244"/>
      <w:r/>
      <w:bookmarkEnd w:id="181"/>
      <w:r/>
      <w:bookmarkStart w:id="182" w:name="_Hlt26955039"/>
      <w:r/>
      <w:bookmarkEnd w:id="182"/>
      <w:r/>
      <w:bookmarkStart w:id="183" w:name="_Toc49090576"/>
      <w:r/>
      <w:bookmarkStart w:id="184" w:name="_Toc26554094"/>
      <w:r/>
      <w:bookmarkStart w:id="185" w:name="_Toc120614282"/>
      <w:r/>
      <w:r/>
    </w:p>
    <w:p>
      <w:pPr>
        <w:ind w:right="-275"/>
        <w:jc w:val="center"/>
        <w:rPr>
          <w:rFonts w:hint="eastAsia" w:asciiTheme="majorEastAsia" w:hAnsiTheme="majorEastAsia" w:eastAsiaTheme="majorEastAsia"/>
          <w:b/>
          <w:color w:val="000000" w:themeColor="text1"/>
          <w:sz w:val="44"/>
          <w:szCs w:val="44"/>
          <w14:textFill>
            <w14:solidFill>
              <w14:schemeClr w14:val="tx1"/>
            </w14:solidFill>
          </w14:textFill>
        </w:rPr>
      </w:pPr>
      <w:r>
        <w:rPr>
          <w:rFonts w:hint="eastAsia" w:asciiTheme="majorEastAsia" w:hAnsiTheme="majorEastAsia" w:eastAsiaTheme="majorEastAsia"/>
          <w:b/>
          <w:color w:val="000000" w:themeColor="text1"/>
          <w:sz w:val="44"/>
          <w:szCs w:val="44"/>
          <w14:textFill>
            <w14:solidFill>
              <w14:schemeClr w14:val="tx1"/>
            </w14:solidFill>
          </w14:textFill>
        </w:rPr>
      </w:r>
      <w:r/>
    </w:p>
    <w:p>
      <w:pPr>
        <w:ind w:right="-275"/>
        <w:jc w:val="center"/>
        <w:rPr>
          <w:rFonts w:hint="eastAsia" w:asciiTheme="majorEastAsia" w:hAnsiTheme="majorEastAsia" w:eastAsiaTheme="majorEastAsia"/>
          <w:b/>
          <w:color w:val="000000" w:themeColor="text1"/>
          <w:sz w:val="44"/>
          <w:szCs w:val="44"/>
          <w14:textFill>
            <w14:solidFill>
              <w14:schemeClr w14:val="tx1"/>
            </w14:solidFill>
          </w14:textFill>
        </w:rPr>
      </w:pPr>
      <w:r>
        <w:rPr>
          <w:rFonts w:hint="eastAsia" w:asciiTheme="majorEastAsia" w:hAnsiTheme="majorEastAsia" w:eastAsiaTheme="majorEastAsia"/>
          <w:b/>
          <w:color w:val="000000" w:themeColor="text1"/>
          <w:sz w:val="44"/>
          <w:szCs w:val="44"/>
          <w14:textFill>
            <w14:solidFill>
              <w14:schemeClr w14:val="tx1"/>
            </w14:solidFill>
          </w14:textFill>
        </w:rPr>
      </w:r>
      <w:r/>
    </w:p>
    <w:p>
      <w:pPr>
        <w:ind w:right="-275"/>
        <w:jc w:val="center"/>
        <w:rPr>
          <w:rFonts w:asciiTheme="majorEastAsia" w:hAnsiTheme="majorEastAsia" w:eastAsiaTheme="majorEastAsia"/>
          <w:b/>
          <w:color w:val="000000" w:themeColor="text1"/>
          <w:sz w:val="52"/>
          <w:szCs w:val="52"/>
          <w14:textFill>
            <w14:solidFill>
              <w14:schemeClr w14:val="tx1"/>
            </w14:solidFill>
          </w14:textFill>
        </w:rPr>
      </w:pPr>
      <w:r>
        <w:rPr>
          <w:rFonts w:hint="eastAsia" w:asciiTheme="majorEastAsia" w:hAnsiTheme="majorEastAsia" w:eastAsiaTheme="majorEastAsia"/>
          <w:b/>
          <w:color w:val="000000" w:themeColor="text1"/>
          <w:sz w:val="52"/>
          <w:szCs w:val="52"/>
          <w14:textFill>
            <w14:solidFill>
              <w14:schemeClr w14:val="tx1"/>
            </w14:solidFill>
          </w14:textFill>
        </w:rPr>
        <w:t xml:space="preserve">投  标  文  件</w:t>
      </w:r>
      <w:r/>
    </w:p>
    <w:p>
      <w:pPr>
        <w:ind w:right="-275"/>
        <w:jc w:val="center"/>
        <w:rPr>
          <w:rFonts w:asciiTheme="majorEastAsia" w:hAnsiTheme="majorEastAsia" w:eastAsiaTheme="majorEastAsia"/>
          <w:b/>
          <w:color w:val="000000" w:themeColor="text1"/>
          <w:sz w:val="21"/>
          <w:szCs w:val="21"/>
          <w14:textFill>
            <w14:solidFill>
              <w14:schemeClr w14:val="tx1"/>
            </w14:solidFill>
          </w14:textFill>
        </w:rPr>
      </w:pPr>
      <w:r>
        <w:rPr>
          <w:rFonts w:asciiTheme="majorEastAsia" w:hAnsiTheme="majorEastAsia" w:eastAsiaTheme="majorEastAsia"/>
          <w:b/>
          <w:color w:val="000000" w:themeColor="text1"/>
          <w:sz w:val="21"/>
          <w:szCs w:val="21"/>
          <w14:textFill>
            <w14:solidFill>
              <w14:schemeClr w14:val="tx1"/>
            </w14:solidFill>
          </w14:textFill>
        </w:rPr>
      </w:r>
      <w:r/>
    </w:p>
    <w:p>
      <w:pPr>
        <w:ind w:right="-275"/>
        <w:jc w:val="center"/>
        <w:rPr>
          <w:rFonts w:asciiTheme="majorEastAsia" w:hAnsiTheme="majorEastAsia" w:eastAsiaTheme="majorEastAsia"/>
          <w:b/>
          <w:color w:val="000000" w:themeColor="text1"/>
          <w:sz w:val="21"/>
          <w:szCs w:val="21"/>
          <w14:textFill>
            <w14:solidFill>
              <w14:schemeClr w14:val="tx1"/>
            </w14:solidFill>
          </w14:textFill>
        </w:rPr>
      </w:pPr>
      <w:r>
        <w:rPr>
          <w:rFonts w:asciiTheme="majorEastAsia" w:hAnsiTheme="majorEastAsia" w:eastAsiaTheme="majorEastAsia"/>
          <w:b/>
          <w:color w:val="000000" w:themeColor="text1"/>
          <w:sz w:val="21"/>
          <w:szCs w:val="21"/>
          <w14:textFill>
            <w14:solidFill>
              <w14:schemeClr w14:val="tx1"/>
            </w14:solidFill>
          </w14:textFill>
        </w:rPr>
      </w:r>
      <w:r/>
    </w:p>
    <w:p>
      <w:pPr>
        <w:ind w:right="-275"/>
        <w:jc w:val="center"/>
        <w:rPr>
          <w:rFonts w:asciiTheme="majorEastAsia" w:hAnsiTheme="majorEastAsia" w:eastAsiaTheme="majorEastAsia"/>
          <w:b/>
          <w:color w:val="000000" w:themeColor="text1"/>
          <w:sz w:val="21"/>
          <w:szCs w:val="21"/>
          <w14:textFill>
            <w14:solidFill>
              <w14:schemeClr w14:val="tx1"/>
            </w14:solidFill>
          </w14:textFill>
        </w:rPr>
      </w:pPr>
      <w:r>
        <w:rPr>
          <w:rFonts w:asciiTheme="majorEastAsia" w:hAnsiTheme="majorEastAsia" w:eastAsiaTheme="majorEastAsia"/>
          <w:b/>
          <w:color w:val="000000" w:themeColor="text1"/>
          <w:sz w:val="21"/>
          <w:szCs w:val="21"/>
          <w14:textFill>
            <w14:solidFill>
              <w14:schemeClr w14:val="tx1"/>
            </w14:solidFill>
          </w14:textFill>
        </w:rPr>
      </w:r>
      <w:r/>
    </w:p>
    <w:p>
      <w:pPr>
        <w:ind w:right="-275"/>
        <w:jc w:val="center"/>
        <w:rPr>
          <w:rFonts w:asciiTheme="majorEastAsia" w:hAnsiTheme="majorEastAsia" w:eastAsiaTheme="majorEastAsia"/>
          <w:b/>
          <w:color w:val="000000" w:themeColor="text1"/>
          <w:sz w:val="21"/>
          <w:szCs w:val="21"/>
          <w14:textFill>
            <w14:solidFill>
              <w14:schemeClr w14:val="tx1"/>
            </w14:solidFill>
          </w14:textFill>
        </w:rPr>
      </w:pPr>
      <w:r>
        <w:rPr>
          <w:rFonts w:asciiTheme="majorEastAsia" w:hAnsiTheme="majorEastAsia" w:eastAsiaTheme="majorEastAsia"/>
          <w:b/>
          <w:color w:val="000000" w:themeColor="text1"/>
          <w:sz w:val="21"/>
          <w:szCs w:val="21"/>
          <w14:textFill>
            <w14:solidFill>
              <w14:schemeClr w14:val="tx1"/>
            </w14:solidFill>
          </w14:textFill>
        </w:rPr>
      </w:r>
      <w:r/>
    </w:p>
    <w:p>
      <w:pPr>
        <w:ind w:right="-275" w:firstLine="964"/>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项 目 名 称：</w:t>
      </w:r>
      <w:r>
        <w:rPr>
          <w:rFonts w:hint="eastAsia" w:asciiTheme="majorEastAsia" w:hAnsiTheme="majorEastAsia" w:eastAsiaTheme="majorEastAsia"/>
          <w:b/>
          <w:color w:val="000000" w:themeColor="text1"/>
          <w:sz w:val="32"/>
          <w:szCs w:val="32"/>
          <w:u w:val="single"/>
          <w14:textFill>
            <w14:solidFill>
              <w14:schemeClr w14:val="tx1"/>
            </w14:solidFill>
          </w14:textFill>
        </w:rPr>
        <w:t xml:space="preserve">             </w:t>
      </w:r>
      <w:r>
        <w:rPr>
          <w:rFonts w:hint="eastAsia" w:asciiTheme="majorEastAsia" w:hAnsiTheme="majorEastAsia" w:eastAsiaTheme="majorEastAsia"/>
          <w:b/>
          <w:color w:val="000000" w:themeColor="text1"/>
          <w:sz w:val="32"/>
          <w:szCs w:val="32"/>
          <w:u w:val="single"/>
          <w:lang w:val="en-US" w:eastAsia="zh-CN"/>
          <w14:textFill>
            <w14:solidFill>
              <w14:schemeClr w14:val="tx1"/>
            </w14:solidFill>
          </w14:textFill>
        </w:rPr>
        <w:t xml:space="preserve">      </w:t>
      </w:r>
      <w:r>
        <w:rPr>
          <w:rFonts w:hint="eastAsia" w:asciiTheme="majorEastAsia" w:hAnsiTheme="majorEastAsia" w:eastAsiaTheme="majorEastAsia"/>
          <w:b/>
          <w:color w:val="000000" w:themeColor="text1"/>
          <w:sz w:val="32"/>
          <w:szCs w:val="32"/>
          <w:u w:val="single"/>
          <w14:textFill>
            <w14:solidFill>
              <w14:schemeClr w14:val="tx1"/>
            </w14:solidFill>
          </w14:textFill>
        </w:rPr>
        <w:t xml:space="preserve">  </w:t>
      </w:r>
      <w:r/>
    </w:p>
    <w:p>
      <w:pPr>
        <w:ind w:right="-275" w:firstLine="964"/>
        <w:rPr>
          <w:rFonts w:asciiTheme="majorEastAsia" w:hAnsiTheme="majorEastAsia" w:eastAsiaTheme="majorEastAsia"/>
          <w:b/>
          <w:color w:val="000000" w:themeColor="text1"/>
          <w:sz w:val="32"/>
          <w:szCs w:val="32"/>
          <w:u w:val="single"/>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招 标 编 号：</w:t>
      </w:r>
      <w:r>
        <w:rPr>
          <w:rFonts w:hint="eastAsia" w:asciiTheme="majorEastAsia" w:hAnsiTheme="majorEastAsia" w:eastAsiaTheme="majorEastAsia"/>
          <w:b/>
          <w:color w:val="000000" w:themeColor="text1"/>
          <w:sz w:val="32"/>
          <w:szCs w:val="32"/>
          <w:u w:val="single"/>
          <w14:textFill>
            <w14:solidFill>
              <w14:schemeClr w14:val="tx1"/>
            </w14:solidFill>
          </w14:textFill>
        </w:rPr>
        <w:t xml:space="preserve">             </w:t>
      </w:r>
      <w:r>
        <w:rPr>
          <w:rFonts w:hint="eastAsia" w:asciiTheme="majorEastAsia" w:hAnsiTheme="majorEastAsia" w:eastAsiaTheme="majorEastAsia"/>
          <w:b/>
          <w:color w:val="000000" w:themeColor="text1"/>
          <w:sz w:val="32"/>
          <w:szCs w:val="32"/>
          <w:u w:val="single"/>
          <w:lang w:val="en-US" w:eastAsia="zh-CN"/>
          <w14:textFill>
            <w14:solidFill>
              <w14:schemeClr w14:val="tx1"/>
            </w14:solidFill>
          </w14:textFill>
        </w:rPr>
        <w:t xml:space="preserve">      </w:t>
      </w:r>
      <w:r>
        <w:rPr>
          <w:rFonts w:hint="eastAsia" w:asciiTheme="majorEastAsia" w:hAnsiTheme="majorEastAsia" w:eastAsiaTheme="majorEastAsia"/>
          <w:b/>
          <w:color w:val="000000" w:themeColor="text1"/>
          <w:sz w:val="32"/>
          <w:szCs w:val="32"/>
          <w:u w:val="single"/>
          <w14:textFill>
            <w14:solidFill>
              <w14:schemeClr w14:val="tx1"/>
            </w14:solidFill>
          </w14:textFill>
        </w:rPr>
        <w:t xml:space="preserve">  </w:t>
      </w:r>
      <w:r/>
    </w:p>
    <w:p>
      <w:pPr>
        <w:ind w:right="-275"/>
        <w:rPr>
          <w:rFonts w:asciiTheme="majorEastAsia" w:hAnsiTheme="majorEastAsia" w:eastAsiaTheme="majorEastAsia"/>
          <w:b/>
          <w:color w:val="000000" w:themeColor="text1"/>
          <w:sz w:val="32"/>
          <w:szCs w:val="32"/>
          <w:u w:val="single"/>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      投标人名称 ：</w:t>
      </w:r>
      <w:r>
        <w:rPr>
          <w:rFonts w:hint="eastAsia" w:asciiTheme="majorEastAsia" w:hAnsiTheme="majorEastAsia" w:eastAsiaTheme="majorEastAsia"/>
          <w:b/>
          <w:color w:val="000000" w:themeColor="text1"/>
          <w:sz w:val="32"/>
          <w:szCs w:val="32"/>
          <w:u w:val="single"/>
          <w14:textFill>
            <w14:solidFill>
              <w14:schemeClr w14:val="tx1"/>
            </w14:solidFill>
          </w14:textFill>
        </w:rPr>
        <w:t xml:space="preserve"> （加盖CA电子公章） </w:t>
      </w:r>
      <w:r/>
    </w:p>
    <w:p>
      <w:pPr>
        <w:ind w:right="-275"/>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      日      期 ：</w:t>
      </w:r>
      <w:r>
        <w:rPr>
          <w:rFonts w:hint="eastAsia" w:asciiTheme="majorEastAsia" w:hAnsiTheme="majorEastAsia" w:eastAsiaTheme="majorEastAsia"/>
          <w:b/>
          <w:color w:val="000000" w:themeColor="text1"/>
          <w:sz w:val="32"/>
          <w:szCs w:val="32"/>
          <w:u w:val="single"/>
          <w14:textFill>
            <w14:solidFill>
              <w14:schemeClr w14:val="tx1"/>
            </w14:solidFill>
          </w14:textFill>
        </w:rPr>
        <w:t xml:space="preserve">             </w:t>
      </w:r>
      <w:r>
        <w:rPr>
          <w:rFonts w:hint="eastAsia" w:asciiTheme="majorEastAsia" w:hAnsiTheme="majorEastAsia" w:eastAsiaTheme="majorEastAsia"/>
          <w:b/>
          <w:color w:val="000000" w:themeColor="text1"/>
          <w:sz w:val="32"/>
          <w:szCs w:val="32"/>
          <w:u w:val="single"/>
          <w:lang w:val="en-US" w:eastAsia="zh-CN"/>
          <w14:textFill>
            <w14:solidFill>
              <w14:schemeClr w14:val="tx1"/>
            </w14:solidFill>
          </w14:textFill>
        </w:rPr>
        <w:t xml:space="preserve">      </w:t>
      </w:r>
      <w:r>
        <w:rPr>
          <w:rFonts w:hint="eastAsia" w:asciiTheme="majorEastAsia" w:hAnsiTheme="majorEastAsia" w:eastAsiaTheme="majorEastAsia"/>
          <w:b/>
          <w:color w:val="000000" w:themeColor="text1"/>
          <w:sz w:val="32"/>
          <w:szCs w:val="32"/>
          <w:u w:val="single"/>
          <w14:textFill>
            <w14:solidFill>
              <w14:schemeClr w14:val="tx1"/>
            </w14:solidFill>
          </w14:textFill>
        </w:rPr>
        <w:t xml:space="preserve">  </w:t>
      </w:r>
      <w:r/>
    </w:p>
    <w:p>
      <w:pPr>
        <w:ind w:right="-275"/>
        <w:jc w:val="center"/>
        <w:spacing w:line="440" w:lineRule="exact"/>
        <w:rPr>
          <w:rFonts w:asciiTheme="majorEastAsia" w:hAnsiTheme="majorEastAsia" w:eastAsiaTheme="majorEastAsia"/>
          <w:b/>
          <w:bCs/>
          <w:color w:val="000000" w:themeColor="text1"/>
          <w:sz w:val="21"/>
          <w:szCs w:val="21"/>
          <w14:textFill>
            <w14:solidFill>
              <w14:schemeClr w14:val="tx1"/>
            </w14:solidFill>
          </w14:textFill>
        </w:rPr>
      </w:pPr>
      <w:r>
        <w:rPr>
          <w:rFonts w:asciiTheme="majorEastAsia" w:hAnsiTheme="majorEastAsia" w:eastAsiaTheme="majorEastAsia"/>
          <w:b/>
          <w:bCs/>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rPr>
          <w:rFonts w:asciiTheme="majorEastAsia" w:hAnsiTheme="majorEastAsia" w:eastAsiaTheme="majorEastAsia"/>
          <w:b/>
          <w:bCs/>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br w:type="page" w:clear="all"/>
      </w:r>
      <w:r>
        <w:rPr>
          <w:rFonts w:hint="eastAsia" w:asciiTheme="majorEastAsia" w:hAnsiTheme="majorEastAsia" w:eastAsiaTheme="majorEastAsia"/>
          <w:b/>
          <w:bCs/>
          <w:color w:val="000000" w:themeColor="text1"/>
          <w:sz w:val="36"/>
          <w:szCs w:val="36"/>
          <w14:textFill>
            <w14:solidFill>
              <w14:schemeClr w14:val="tx1"/>
            </w14:solidFill>
          </w14:textFill>
        </w:rPr>
        <w:t xml:space="preserve">投标主要文件目录</w:t>
      </w:r>
      <w:r/>
    </w:p>
    <w:p>
      <w:pPr>
        <w:ind w:right="-275"/>
        <w:jc w:val="both"/>
        <w:spacing w:line="440" w:lineRule="exact"/>
        <w:rPr>
          <w:rFonts w:asciiTheme="majorEastAsia" w:hAnsiTheme="majorEastAsia" w:eastAsiaTheme="majorEastAsia"/>
          <w:b/>
          <w:bCs/>
          <w:color w:val="000000" w:themeColor="text1"/>
          <w:sz w:val="21"/>
          <w:szCs w:val="21"/>
          <w14:textFill>
            <w14:solidFill>
              <w14:schemeClr w14:val="tx1"/>
            </w14:solidFill>
          </w14:textFill>
        </w:rPr>
      </w:pPr>
      <w:r>
        <w:rPr>
          <w:rFonts w:asciiTheme="majorEastAsia" w:hAnsiTheme="majorEastAsia" w:eastAsiaTheme="majorEastAsia"/>
          <w:b/>
          <w:bCs/>
          <w:color w:val="000000" w:themeColor="text1"/>
          <w:sz w:val="21"/>
          <w:szCs w:val="21"/>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一、法人或者其他组织的营业执照等证明文件，自然人的身份证明</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二、上一年度的财务状况报告（投标人成立不满一年无需提供）</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三、具备履行合同所必需的设备和专业技术能力的书面声明</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五、参加政府采购活动前 3 年内在经营活动中没有重大违法记录的书面声明</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六、特定资格要求的证明文件（如果本项目设置特定资格要求，则需要提供）</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七、法人授权书</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八、投标函</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九、小微企业声明函</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十、残疾人福利性单位声明函</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十一、联合体协议</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十二、投标分项报价表</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十三、技术要求响应及偏离表</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十四、商务要求响应及偏离表</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十五、开标一览表</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十六、依据评标办法用于评分的材料</w:t>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十七、盐城市政府采购事前信用承诺书</w:t>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0"/>
        <w:spacing w:line="440" w:lineRule="exact"/>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firstLine="422"/>
        <w:spacing w:line="440" w:lineRule="exact"/>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一、法人或者其他组织的营业执照等证明文件，自然人的身份证明 </w:t>
      </w:r>
      <w:r/>
    </w:p>
    <w:p>
      <w:pPr>
        <w:ind w:right="-275" w:firstLine="422"/>
        <w:spacing w:line="440" w:lineRule="exact"/>
        <w:rPr>
          <w:rFonts w:hint="default"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二、上一年度的财务状况报告</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投标人成立不满一年无需提供 </w:t>
      </w:r>
      <w:r/>
    </w:p>
    <w:p>
      <w:pPr>
        <w:ind w:right="-275" w:firstLine="422"/>
        <w:spacing w:line="440" w:lineRule="exact"/>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三、具备履行合同所必需的设备和专业技术能力的书面声明</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主要设备有：</w:t>
      </w:r>
      <w:r>
        <w:rPr>
          <w:rFonts w:hint="eastAsia" w:cs="宋体" w:asciiTheme="majorEastAsia" w:hAnsiTheme="majorEastAsia" w:eastAsiaTheme="majorEastAsia"/>
          <w:color w:val="000000" w:themeColor="text1"/>
          <w:sz w:val="21"/>
          <w:szCs w:val="21"/>
          <w:u w:val="single"/>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主要专业技术能力有：</w:t>
      </w:r>
      <w:r>
        <w:rPr>
          <w:rFonts w:hint="eastAsia" w:cs="宋体" w:asciiTheme="majorEastAsia" w:hAnsiTheme="majorEastAsia" w:eastAsiaTheme="majorEastAsia"/>
          <w:color w:val="000000" w:themeColor="text1"/>
          <w:sz w:val="21"/>
          <w:szCs w:val="21"/>
          <w:u w:val="single"/>
          <w:lang w:val="en-US" w:eastAsia="zh-CN"/>
          <w14:textFill>
            <w14:solidFill>
              <w14:schemeClr w14:val="tx1"/>
            </w14:solidFill>
          </w14:textFill>
        </w:rPr>
        <w:t xml:space="preserve">   </w:t>
      </w: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w:t>
      </w:r>
      <w:r/>
    </w:p>
    <w:p>
      <w:pPr>
        <w:ind w:right="-275" w:firstLine="422"/>
        <w:spacing w:line="440" w:lineRule="exact"/>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四、依法缴纳税收和社会保障资金的相关材料</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 </w:t>
      </w:r>
      <w:r/>
    </w:p>
    <w:p>
      <w:pPr>
        <w:ind w:right="-275" w:firstLine="422"/>
        <w:spacing w:line="440" w:lineRule="exact"/>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五、参加政府采购活动前 3 年内在经营活动中没有重大违法记录的书面声明</w:t>
      </w:r>
      <w:r/>
    </w:p>
    <w:p>
      <w:pPr>
        <w:ind w:right="-275"/>
        <w:jc w:val="center"/>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声  明</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right="-275" w:firstLine="422"/>
        <w:spacing w:line="440" w:lineRule="exact"/>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六、特定资格要求的证明文件</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t xml:space="preserve">如果本项目申请人的特定资格要求中要求提供的，必须提供。</w:t>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firstLine="420"/>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r>
      <w:r/>
    </w:p>
    <w:p>
      <w:pPr>
        <w:ind w:right="-275"/>
        <w:jc w:val="center"/>
        <w:spacing w:line="440" w:lineRule="exact"/>
        <w:rPr>
          <w:rFonts w:hint="eastAsia" w:cs="宋体"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cs="宋体" w:asciiTheme="majorEastAsia" w:hAnsiTheme="majorEastAsia" w:eastAsiaTheme="majorEastAsia"/>
          <w:b/>
          <w:bCs/>
          <w:color w:val="000000" w:themeColor="text1"/>
          <w:sz w:val="21"/>
          <w:szCs w:val="21"/>
          <w:lang w:val="en-US" w:eastAsia="zh-CN"/>
          <w14:textFill>
            <w14:solidFill>
              <w14:schemeClr w14:val="tx1"/>
            </w14:solidFill>
          </w14:textFill>
        </w:rPr>
        <w:t xml:space="preserve">七、法人（或负责人）授权书</w:t>
      </w:r>
      <w:r/>
    </w:p>
    <w:p>
      <w:pPr>
        <w:pStyle w:val="720"/>
        <w:ind w:right="-275" w:firstLine="480"/>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pStyle w:val="720"/>
        <w:ind w:right="-275" w:firstLine="480"/>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pStyle w:val="720"/>
        <w:ind w:right="-275" w:firstLine="480"/>
        <w:spacing w:line="480" w:lineRule="auto"/>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本授权书声明：____________（供应商名称）授权________________（被授权人的姓名）为我方就JSZC-</w:t>
      </w:r>
      <w:r>
        <w:rPr>
          <w:rFonts w:hint="eastAsia" w:asciiTheme="majorEastAsia" w:hAnsiTheme="majorEastAsia" w:eastAsiaTheme="majorEastAsia"/>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olor w:val="000000" w:themeColor="text1"/>
          <w:sz w:val="21"/>
          <w:szCs w:val="21"/>
          <w14:textFill>
            <w14:solidFill>
              <w14:schemeClr w14:val="tx1"/>
            </w14:solidFill>
          </w14:textFill>
        </w:rPr>
        <w:t xml:space="preserve">号项目采购活动的合法代理人，以本公司名义全权处理一切与该项目采购有关的事务。</w:t>
      </w:r>
      <w:r/>
    </w:p>
    <w:p>
      <w:pPr>
        <w:pStyle w:val="720"/>
        <w:ind w:right="-275" w:firstLine="480"/>
        <w:spacing w:line="480" w:lineRule="auto"/>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本授权书于______年____月____日起生效，特此声明。</w:t>
      </w:r>
      <w:r/>
    </w:p>
    <w:p>
      <w:pPr>
        <w:pStyle w:val="707"/>
        <w:jc w:val="both"/>
        <w:spacing w:beforeAutospacing="0" w:afterAutospacing="0"/>
        <w:tabs>
          <w:tab w:val="left" w:pos="360" w:leader="none"/>
        </w:tabs>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p>
      <w:pPr>
        <w:pStyle w:val="707"/>
        <w:ind w:firstLine="420"/>
        <w:jc w:val="both"/>
        <w:spacing w:beforeAutospacing="0" w:afterAutospacing="0"/>
        <w:tabs>
          <w:tab w:val="left" w:pos="360" w:leader="none"/>
        </w:tabs>
        <w:rPr>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被授权人身份证号码：</w:t>
      </w:r>
      <w:r>
        <w:rPr>
          <w:rFonts w:ascii="Times New Roman" w:hAnsi="Times New Roman"/>
          <w:color w:val="000000" w:themeColor="text1"/>
          <w:sz w:val="21"/>
          <w:szCs w:val="21"/>
          <w:u w:val="single"/>
          <w14:textFill>
            <w14:solidFill>
              <w14:schemeClr w14:val="tx1"/>
            </w14:solidFill>
          </w14:textFill>
        </w:rPr>
        <w:t xml:space="preserve">                              </w:t>
      </w:r>
      <w:r/>
    </w:p>
    <w:p>
      <w:pPr>
        <w:pStyle w:val="707"/>
        <w:ind w:firstLine="420"/>
        <w:jc w:val="both"/>
        <w:spacing w:beforeAutospacing="0" w:afterAutospacing="0"/>
        <w:tabs>
          <w:tab w:val="left" w:pos="360" w:leader="none"/>
        </w:tabs>
        <w:rPr>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被授权人联系电话：（手机）</w:t>
      </w:r>
      <w:r>
        <w:rPr>
          <w:rFonts w:ascii="Times New Roman" w:hAnsi="Times New Roman"/>
          <w:color w:val="000000" w:themeColor="text1"/>
          <w:sz w:val="21"/>
          <w:szCs w:val="21"/>
          <w:u w:val="single"/>
          <w14:textFill>
            <w14:solidFill>
              <w14:schemeClr w14:val="tx1"/>
            </w14:solidFill>
          </w14:textFill>
        </w:rPr>
        <w:t xml:space="preserve">                          </w:t>
      </w:r>
      <w:r/>
    </w:p>
    <w:p>
      <w:pPr>
        <w:pStyle w:val="707"/>
        <w:ind w:firstLine="420"/>
        <w:jc w:val="both"/>
        <w:spacing w:beforeAutospacing="0" w:afterAutospacing="0"/>
        <w:tabs>
          <w:tab w:val="left" w:pos="360" w:leader="none"/>
        </w:tabs>
        <w:rPr>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授权单位名称：</w:t>
      </w:r>
      <w:r>
        <w:rPr>
          <w:rFonts w:ascii="Times New Roman" w:hAnsi="Times New Roman"/>
          <w:color w:val="000000" w:themeColor="text1"/>
          <w:sz w:val="21"/>
          <w:szCs w:val="21"/>
          <w:u w:val="single"/>
          <w14:textFill>
            <w14:solidFill>
              <w14:schemeClr w14:val="tx1"/>
            </w14:solidFill>
          </w14:textFill>
        </w:rPr>
        <w:t xml:space="preserve">（加盖CA电子公章）</w:t>
      </w:r>
      <w:r/>
    </w:p>
    <w:p>
      <w:pPr>
        <w:pStyle w:val="707"/>
        <w:ind w:firstLine="420"/>
        <w:jc w:val="both"/>
        <w:spacing w:beforeAutospacing="0" w:afterAutospacing="0"/>
        <w:tabs>
          <w:tab w:val="left" w:pos="360" w:leader="none"/>
        </w:tabs>
        <w:rPr>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单位地址：</w:t>
      </w:r>
      <w:r>
        <w:rPr>
          <w:rFonts w:ascii="Times New Roman" w:hAnsi="Times New Roman"/>
          <w:color w:val="000000" w:themeColor="text1"/>
          <w:sz w:val="21"/>
          <w:szCs w:val="21"/>
          <w:u w:val="single"/>
          <w14:textFill>
            <w14:solidFill>
              <w14:schemeClr w14:val="tx1"/>
            </w14:solidFill>
          </w14:textFill>
        </w:rPr>
        <w:t xml:space="preserve">                                         </w:t>
      </w:r>
      <w:r/>
    </w:p>
    <w:p>
      <w:pPr>
        <w:pStyle w:val="707"/>
        <w:ind w:firstLine="420"/>
        <w:jc w:val="both"/>
        <w:spacing w:beforeAutospacing="0" w:afterAutospacing="0"/>
        <w:tabs>
          <w:tab w:val="left" w:pos="360" w:leader="none"/>
        </w:tabs>
        <w:rPr>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日期：</w:t>
      </w:r>
      <w:r>
        <w:rPr>
          <w:rFonts w:ascii="Times New Roman" w:hAnsi="Times New Roman"/>
          <w:color w:val="000000" w:themeColor="text1"/>
          <w:sz w:val="21"/>
          <w:szCs w:val="21"/>
          <w:u w:val="single"/>
          <w14:textFill>
            <w14:solidFill>
              <w14:schemeClr w14:val="tx1"/>
            </w14:solidFill>
          </w14:textFill>
        </w:rPr>
        <w:t xml:space="preserve">                                         </w:t>
      </w:r>
      <w:r/>
    </w:p>
    <w:p>
      <w:pPr>
        <w:pStyle w:val="707"/>
        <w:ind w:firstLine="42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20"/>
        <w:ind w:right="-275" w:firstLine="480"/>
        <w:spacing w:line="480" w:lineRule="auto"/>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87"/>
        <w:ind w:right="-275"/>
        <w:rPr>
          <w:rFonts w:asciiTheme="majorEastAsia" w:hAnsiTheme="majorEastAsia" w:eastAsiaTheme="majorEastAsia"/>
          <w:color w:val="000000" w:themeColor="text1"/>
          <w:sz w:val="21"/>
          <w:szCs w:val="21"/>
          <w14:textFill>
            <w14:solidFill>
              <w14:schemeClr w14:val="tx1"/>
            </w14:solidFill>
          </w14:textFill>
        </w:rPr>
      </w:pPr>
      <w:r/>
      <w:bookmarkStart w:id="186" w:name="_格式3__银行出具的资信证明"/>
      <w:r/>
      <w:bookmarkEnd w:id="186"/>
      <w:r/>
      <w:bookmarkStart w:id="187" w:name="_Hlt26955070"/>
      <w:r/>
      <w:bookmarkEnd w:id="187"/>
      <w:r/>
      <w:bookmarkStart w:id="188" w:name="_Hlt26671380"/>
      <w:r/>
      <w:bookmarkEnd w:id="188"/>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spacing w:line="460" w:lineRule="exact"/>
        <w:rPr>
          <w:rFonts w:asciiTheme="majorEastAsia" w:hAnsiTheme="majorEastAsia" w:eastAsiaTheme="majorEastAsia"/>
          <w:bCs/>
          <w:color w:val="000000" w:themeColor="text1"/>
          <w:sz w:val="21"/>
          <w:szCs w:val="21"/>
          <w14:textFill>
            <w14:solidFill>
              <w14:schemeClr w14:val="tx1"/>
            </w14:solidFill>
          </w14:textFill>
        </w:rPr>
      </w:pPr>
      <w:r>
        <w:rPr>
          <w:rFonts w:asciiTheme="majorEastAsia" w:hAnsiTheme="majorEastAsia" w:eastAsiaTheme="majorEastAsia"/>
          <w:bCs/>
          <w:color w:val="000000" w:themeColor="text1"/>
          <w:sz w:val="21"/>
          <w:szCs w:val="21"/>
          <w14:textFill>
            <w14:solidFill>
              <w14:schemeClr w14:val="tx1"/>
            </w14:solidFill>
          </w14:textFill>
        </w:rPr>
      </w:r>
      <w:r/>
    </w:p>
    <w:p>
      <w:pPr>
        <w:ind w:right="-275"/>
        <w:spacing w:line="460" w:lineRule="exact"/>
        <w:rPr>
          <w:rFonts w:asciiTheme="majorEastAsia" w:hAnsiTheme="majorEastAsia" w:eastAsiaTheme="majorEastAsia"/>
          <w:bCs/>
          <w:color w:val="000000" w:themeColor="text1"/>
          <w:sz w:val="21"/>
          <w:szCs w:val="21"/>
          <w14:textFill>
            <w14:solidFill>
              <w14:schemeClr w14:val="tx1"/>
            </w14:solidFill>
          </w14:textFill>
        </w:rPr>
      </w:pPr>
      <w:r>
        <w:rPr>
          <w:rFonts w:asciiTheme="majorEastAsia" w:hAnsiTheme="majorEastAsia" w:eastAsiaTheme="majorEastAsia"/>
          <w:bCs/>
          <w:color w:val="000000" w:themeColor="text1"/>
          <w:sz w:val="21"/>
          <w:szCs w:val="21"/>
          <w14:textFill>
            <w14:solidFill>
              <w14:schemeClr w14:val="tx1"/>
            </w14:solidFill>
          </w14:textFill>
        </w:rPr>
      </w:r>
      <w:r/>
    </w:p>
    <w:p>
      <w:pPr>
        <w:ind w:right="-275"/>
        <w:spacing w:line="460" w:lineRule="exact"/>
        <w:rPr>
          <w:rFonts w:asciiTheme="majorEastAsia" w:hAnsiTheme="majorEastAsia" w:eastAsiaTheme="majorEastAsia"/>
          <w:bCs/>
          <w:color w:val="000000" w:themeColor="text1"/>
          <w:sz w:val="21"/>
          <w:szCs w:val="21"/>
          <w14:textFill>
            <w14:solidFill>
              <w14:schemeClr w14:val="tx1"/>
            </w14:solidFill>
          </w14:textFill>
        </w:rPr>
      </w:pPr>
      <w:r>
        <w:rPr>
          <w:rFonts w:asciiTheme="majorEastAsia" w:hAnsiTheme="majorEastAsia" w:eastAsiaTheme="majorEastAsia"/>
          <w:bCs/>
          <w:color w:val="000000" w:themeColor="text1"/>
          <w:sz w:val="21"/>
          <w:szCs w:val="21"/>
          <w14:textFill>
            <w14:solidFill>
              <w14:schemeClr w14:val="tx1"/>
            </w14:solidFill>
          </w14:textFill>
        </w:rPr>
      </w:r>
      <w:r/>
    </w:p>
    <w:p>
      <w:pPr>
        <w:ind w:right="-275"/>
        <w:spacing w:line="460" w:lineRule="exact"/>
        <w:rPr>
          <w:rFonts w:asciiTheme="majorEastAsia" w:hAnsiTheme="majorEastAsia" w:eastAsiaTheme="majorEastAsia"/>
          <w:bCs/>
          <w:color w:val="000000" w:themeColor="text1"/>
          <w:sz w:val="21"/>
          <w:szCs w:val="21"/>
          <w14:textFill>
            <w14:solidFill>
              <w14:schemeClr w14:val="tx1"/>
            </w14:solidFill>
          </w14:textFill>
        </w:rPr>
      </w:pPr>
      <w:r>
        <w:rPr>
          <w:rFonts w:asciiTheme="majorEastAsia" w:hAnsiTheme="majorEastAsia" w:eastAsiaTheme="majorEastAsia"/>
          <w:bCs/>
          <w:color w:val="000000" w:themeColor="text1"/>
          <w:sz w:val="21"/>
          <w:szCs w:val="21"/>
          <w14:textFill>
            <w14:solidFill>
              <w14:schemeClr w14:val="tx1"/>
            </w14:solidFill>
          </w14:textFill>
        </w:rPr>
      </w:r>
      <w:r/>
    </w:p>
    <w:p>
      <w:pPr>
        <w:ind w:right="-275"/>
        <w:spacing w:line="460" w:lineRule="exact"/>
        <w:rPr>
          <w:rFonts w:asciiTheme="majorEastAsia" w:hAnsiTheme="majorEastAsia" w:eastAsiaTheme="majorEastAsia"/>
          <w:bCs/>
          <w:color w:val="000000" w:themeColor="text1"/>
          <w:sz w:val="21"/>
          <w:szCs w:val="21"/>
          <w14:textFill>
            <w14:solidFill>
              <w14:schemeClr w14:val="tx1"/>
            </w14:solidFill>
          </w14:textFill>
        </w:rPr>
      </w:pPr>
      <w:r>
        <w:rPr>
          <w:rFonts w:asciiTheme="majorEastAsia" w:hAnsiTheme="majorEastAsia" w:eastAsiaTheme="majorEastAsia"/>
          <w:bCs/>
          <w:color w:val="000000" w:themeColor="text1"/>
          <w:sz w:val="21"/>
          <w:szCs w:val="21"/>
          <w14:textFill>
            <w14:solidFill>
              <w14:schemeClr w14:val="tx1"/>
            </w14:solidFill>
          </w14:textFill>
        </w:rPr>
      </w:r>
      <w:bookmarkEnd w:id="183"/>
      <w:bookmarkEnd w:id="184"/>
      <w:bookmarkEnd w:id="185"/>
      <w:r/>
    </w:p>
    <w:p>
      <w:pPr>
        <w:ind w:right="-275"/>
        <w:jc w:val="center"/>
        <w:spacing w:before="50" w:after="50"/>
        <w:rPr>
          <w:rFonts w:asciiTheme="majorEastAsia" w:hAnsiTheme="majorEastAsia" w:eastAsiaTheme="majorEastAsia"/>
          <w:b/>
          <w:bCs/>
          <w:color w:val="000000" w:themeColor="text1"/>
          <w:sz w:val="21"/>
          <w:szCs w:val="21"/>
          <w14:textFill>
            <w14:solidFill>
              <w14:schemeClr w14:val="tx1"/>
            </w14:solidFill>
          </w14:textFill>
        </w:rPr>
      </w:pPr>
      <w:r/>
      <w:bookmarkStart w:id="189" w:name="_Toc120614284"/>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八、</w:t>
      </w:r>
      <w:r>
        <w:rPr>
          <w:rFonts w:hint="eastAsia" w:asciiTheme="majorEastAsia" w:hAnsiTheme="majorEastAsia" w:eastAsiaTheme="majorEastAsia"/>
          <w:b/>
          <w:bCs/>
          <w:color w:val="000000" w:themeColor="text1"/>
          <w:sz w:val="21"/>
          <w:szCs w:val="21"/>
          <w14:textFill>
            <w14:solidFill>
              <w14:schemeClr w14:val="tx1"/>
            </w14:solidFill>
          </w14:textFill>
        </w:rPr>
        <w:t xml:space="preserve">投标函</w:t>
      </w:r>
      <w:r/>
    </w:p>
    <w:p>
      <w:pPr>
        <w:pStyle w:val="717"/>
        <w:ind w:right="-275" w:firstLine="0"/>
        <w:spacing w:before="0" w:after="0" w:line="420" w:lineRule="exact"/>
        <w:rPr>
          <w:rFonts w:hint="eastAsia" w:asciiTheme="majorEastAsia" w:hAnsiTheme="majorEastAsia" w:eastAsiaTheme="majorEastAsia"/>
          <w:color w:val="000000" w:themeColor="text1"/>
          <w:sz w:val="21"/>
          <w:szCs w:val="21"/>
          <w:lang w:eastAsia="zh-CN"/>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致：</w:t>
      </w:r>
      <w:r>
        <w:rPr>
          <w:rFonts w:hint="eastAsia" w:asciiTheme="majorEastAsia" w:hAnsiTheme="majorEastAsia" w:eastAsiaTheme="majorEastAsia"/>
          <w:color w:val="000000" w:themeColor="text1"/>
          <w:sz w:val="21"/>
          <w:szCs w:val="21"/>
          <w:lang w:eastAsia="zh-CN"/>
          <w14:textFill>
            <w14:solidFill>
              <w14:schemeClr w14:val="tx1"/>
            </w14:solidFill>
          </w14:textFill>
        </w:rPr>
        <w:t xml:space="preserve"> 盐城市大丰区住房和城乡建设局</w:t>
      </w:r>
      <w:r/>
    </w:p>
    <w:p>
      <w:pPr>
        <w:pStyle w:val="717"/>
        <w:ind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根据贵方的</w:t>
      </w:r>
      <w:r>
        <w:rPr>
          <w:rFonts w:hint="eastAsia" w:asciiTheme="majorEastAsia" w:hAnsiTheme="majorEastAsia" w:eastAsiaTheme="majorEastAsia"/>
          <w:b/>
          <w:color w:val="000000" w:themeColor="text1"/>
          <w:sz w:val="21"/>
          <w:szCs w:val="21"/>
          <w:u w:val="single"/>
          <w14:textFill>
            <w14:solidFill>
              <w14:schemeClr w14:val="tx1"/>
            </w14:solidFill>
          </w14:textFill>
        </w:rPr>
        <w:t xml:space="preserve">           </w:t>
      </w:r>
      <w:r>
        <w:rPr>
          <w:rFonts w:hint="eastAsia" w:asciiTheme="majorEastAsia" w:hAnsiTheme="majorEastAsia" w:eastAsiaTheme="majorEastAsia"/>
          <w:color w:val="000000" w:themeColor="text1"/>
          <w:sz w:val="21"/>
          <w:szCs w:val="21"/>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717"/>
        <w:ind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据此函，__________签字人兹宣布同意如下：</w:t>
      </w:r>
      <w:r/>
    </w:p>
    <w:p>
      <w:pPr>
        <w:pStyle w:val="707"/>
        <w:ind w:left="0" w:right="0" w:firstLine="0"/>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1.按招标文件规定的各项要求，向买方提供所需服务（包含与服务相关的货物）。</w:t>
      </w:r>
      <w:r/>
    </w:p>
    <w:p>
      <w:pPr>
        <w:pStyle w:val="707"/>
        <w:ind w:left="0" w:right="0" w:firstLine="0"/>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707"/>
        <w:ind w:left="0" w:right="0" w:firstLine="0"/>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707"/>
        <w:ind w:left="0" w:right="0" w:firstLine="0"/>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707"/>
        <w:ind w:left="0" w:right="0" w:firstLine="0"/>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07"/>
        <w:ind w:left="0" w:right="0" w:firstLine="0"/>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07"/>
        <w:ind w:left="0" w:right="0" w:firstLine="0"/>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7.与本投标有关的正式通讯地址为：</w:t>
      </w:r>
      <w:r/>
    </w:p>
    <w:p>
      <w:pPr>
        <w:pStyle w:val="717"/>
        <w:ind w:left="420"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地          址：</w:t>
      </w:r>
      <w:r/>
    </w:p>
    <w:p>
      <w:pPr>
        <w:pStyle w:val="717"/>
        <w:ind w:left="420"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邮          编：</w:t>
      </w:r>
      <w:r/>
    </w:p>
    <w:p>
      <w:pPr>
        <w:pStyle w:val="717"/>
        <w:ind w:left="420"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电          话：</w:t>
      </w:r>
      <w:r/>
    </w:p>
    <w:p>
      <w:pPr>
        <w:pStyle w:val="717"/>
        <w:ind w:left="420"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传          真：</w:t>
      </w:r>
      <w:r/>
    </w:p>
    <w:p>
      <w:pPr>
        <w:pStyle w:val="717"/>
        <w:ind w:left="420"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投标人开户行：</w:t>
      </w:r>
      <w:r/>
    </w:p>
    <w:p>
      <w:pPr>
        <w:pStyle w:val="717"/>
        <w:ind w:left="420"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账          </w:t>
      </w: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户</w:t>
      </w:r>
      <w:r>
        <w:rPr>
          <w:rFonts w:hint="eastAsia" w:asciiTheme="majorEastAsia" w:hAnsiTheme="majorEastAsia" w:eastAsiaTheme="majorEastAsia"/>
          <w:color w:val="000000" w:themeColor="text1"/>
          <w:sz w:val="21"/>
          <w:szCs w:val="21"/>
          <w14:textFill>
            <w14:solidFill>
              <w14:schemeClr w14:val="tx1"/>
            </w14:solidFill>
          </w14:textFill>
        </w:rPr>
        <w:t xml:space="preserve">： </w:t>
      </w:r>
      <w:r/>
    </w:p>
    <w:p>
      <w:pPr>
        <w:pStyle w:val="717"/>
        <w:ind w:left="420" w:right="-275"/>
        <w:spacing w:before="0" w:after="0" w:line="420" w:lineRule="exac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日           期：________年____月____日</w:t>
      </w:r>
      <w:r/>
    </w:p>
    <w:p>
      <w:pPr>
        <w:ind w:right="-275"/>
        <w:jc w:val="left"/>
        <w:spacing w:before="50" w:after="145"/>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          </w:t>
      </w:r>
      <w:r/>
    </w:p>
    <w:p>
      <w:pPr>
        <w:ind w:right="-275"/>
        <w:jc w:val="center"/>
        <w:spacing w:before="50" w:after="50"/>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3"/>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9"/>
        <w:ind w:left="1470"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pStyle w:val="707"/>
        <w:ind w:left="0" w:right="0" w:firstLine="0"/>
        <w:jc w:val="center"/>
        <w:pageBreakBefore w:val="0"/>
        <w:spacing w:beforeAutospacing="0" w:afterAutospacing="0" w:line="0" w:lineRule="atLeas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4"/>
          <w:szCs w:val="24"/>
          <w:highlight w:val="none"/>
          <w:u w:val="single"/>
        </w:rPr>
        <w:t xml:space="preserve">九、</w:t>
      </w:r>
      <w:r>
        <w:rPr>
          <w:rFonts w:hint="eastAsia" w:ascii="宋体" w:hAnsi="宋体" w:eastAsia="宋体" w:cs="宋体"/>
          <w:b/>
          <w:color w:val="auto"/>
          <w:sz w:val="24"/>
          <w:szCs w:val="24"/>
          <w:highlight w:val="none"/>
          <w:u w:val="single"/>
          <w:lang w:val="en-US" w:eastAsia="zh-CN"/>
        </w:rPr>
        <w:t xml:space="preserve">中小</w:t>
      </w:r>
      <w:r>
        <w:rPr>
          <w:rFonts w:hint="eastAsia" w:ascii="宋体" w:hAnsi="宋体" w:eastAsia="宋体" w:cs="宋体"/>
          <w:b/>
          <w:color w:val="auto"/>
          <w:sz w:val="24"/>
          <w:szCs w:val="24"/>
          <w:highlight w:val="none"/>
          <w:u w:val="single"/>
        </w:rPr>
        <w:t xml:space="preserve">企业声明函（</w:t>
      </w:r>
      <w:r>
        <w:rPr>
          <w:rFonts w:hint="eastAsia" w:cs="宋体"/>
          <w:b/>
          <w:color w:val="auto"/>
          <w:sz w:val="24"/>
          <w:szCs w:val="24"/>
          <w:highlight w:val="none"/>
          <w:u w:val="single"/>
          <w:lang w:val="en-US" w:eastAsia="zh-CN"/>
        </w:rPr>
        <w:t xml:space="preserve">服务</w:t>
      </w:r>
      <w:r>
        <w:rPr>
          <w:rFonts w:hint="eastAsia" w:ascii="宋体" w:hAnsi="宋体" w:eastAsia="宋体" w:cs="宋体"/>
          <w:b/>
          <w:color w:val="auto"/>
          <w:sz w:val="24"/>
          <w:szCs w:val="24"/>
          <w:highlight w:val="none"/>
          <w:u w:val="single"/>
        </w:rPr>
        <w:t xml:space="preserve">）（分包号：**）</w:t>
      </w:r>
      <w:r/>
    </w:p>
    <w:p>
      <w:pPr>
        <w:pStyle w:val="707"/>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（项目名称）（分包号：**）</w:t>
      </w:r>
      <w:r>
        <w:rPr>
          <w:rFonts w:hint="eastAsia" w:ascii="宋体" w:hAnsi="宋体" w:eastAsia="宋体" w:cs="宋体"/>
          <w:color w:val="auto"/>
          <w:sz w:val="21"/>
          <w:szCs w:val="21"/>
          <w:highlight w:val="none"/>
        </w:rPr>
        <w:t xml:space="preserve">的采购活动，服务全部由符合政策要求的中小企业承接。相关企业（含联合体中的中小企业、签订分包意向协议的中小企业）的具体情况如下：</w:t>
      </w:r>
      <w:bookmarkStart w:id="204" w:name="_GoBack"/>
      <w:r/>
      <w:bookmarkEnd w:id="204"/>
      <w:r/>
      <w:r/>
    </w:p>
    <w:p>
      <w:pPr>
        <w:pStyle w:val="707"/>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w:t>
      </w:r>
      <w:r>
        <w:rPr>
          <w:rFonts w:hint="eastAsia" w:cs="宋体"/>
          <w:color w:val="auto"/>
          <w:sz w:val="21"/>
          <w:szCs w:val="21"/>
          <w:highlight w:val="none"/>
          <w:u w:val="single"/>
          <w:lang w:val="en-US" w:eastAsia="zh-CN"/>
        </w:rPr>
        <w:t xml:space="preserve">其他未列明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行业；</w:t>
      </w:r>
      <w:r>
        <w:rPr>
          <w:rFonts w:hint="eastAsia" w:cs="宋体"/>
          <w:color w:val="auto"/>
          <w:sz w:val="21"/>
          <w:szCs w:val="21"/>
          <w:highlight w:val="none"/>
          <w:lang w:val="en-US" w:eastAsia="zh-CN"/>
        </w:rPr>
        <w:t xml:space="preserve">承接企业</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人，营业收入为</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万元，资产总额为</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pStyle w:val="707"/>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color w:val="auto"/>
          <w:sz w:val="24"/>
          <w:highlight w:val="none"/>
        </w:rPr>
        <w:t xml:space="preserve">……</w:t>
      </w:r>
      <w:r/>
    </w:p>
    <w:p>
      <w:pPr>
        <w:pStyle w:val="707"/>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707"/>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707"/>
        <w:ind w:right="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07"/>
        <w:ind w:right="0" w:firstLine="36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pStyle w:val="707"/>
        <w:ind w:right="0" w:firstLine="540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pStyle w:val="707"/>
        <w:ind w:right="0" w:firstLine="36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707"/>
        <w:ind w:left="0" w:right="0" w:firstLine="480"/>
        <w:jc w:val="both"/>
        <w:pageBreakBefore w:val="0"/>
        <w:spacing w:beforeAutospacing="0" w:afterAutospacing="0"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707"/>
        <w:ind w:left="0" w:right="0" w:firstLine="480"/>
        <w:jc w:val="both"/>
        <w:pageBreakBefore w:val="0"/>
        <w:spacing w:beforeAutospacing="0" w:afterAutospacing="0" w:line="440" w:lineRule="exact"/>
        <w:shd w:val="clear" w:color="auto"/>
        <w:widowControl/>
        <w:rPr>
          <w:rFonts w:asciiTheme="majorEastAsia" w:hAnsiTheme="majorEastAsia" w:eastAsiaTheme="majorEastAsia"/>
          <w:b/>
          <w:bCs/>
          <w:color w:val="000000" w:themeColor="text1"/>
          <w:sz w:val="21"/>
          <w:szCs w:val="21"/>
          <w14:textFill>
            <w14:solidFill>
              <w14:schemeClr w14:val="tx1"/>
            </w14:solidFill>
          </w14:textFill>
        </w:rPr>
      </w:pPr>
      <w:r>
        <w:rPr>
          <w:rFonts w:hint="eastAsia" w:ascii="宋体" w:hAnsi="宋体" w:eastAsia="宋体" w:cs="宋体"/>
          <w:color w:val="auto"/>
          <w:sz w:val="21"/>
          <w:szCs w:val="21"/>
          <w:highlight w:val="none"/>
        </w:rPr>
        <w:t xml:space="preserve">备注2：供应商如不提供此声明函，价格将不做相应扣除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rPr>
          <w:rFonts w:hint="eastAsia" w:ascii="宋体" w:hAnsi="宋体" w:eastAsia="宋体" w:cs="宋体"/>
          <w:color w:val="auto"/>
          <w:sz w:val="21"/>
          <w:szCs w:val="21"/>
          <w:highlight w:val="none"/>
        </w:rPr>
        <w:t xml:space="preserve">。</w:t>
      </w:r>
      <w:r>
        <w:rPr>
          <w:rFonts w:hint="eastAsia" w:ascii="宋体" w:hAnsi="宋体" w:eastAsia="宋体" w:cs="宋体"/>
          <w:b/>
          <w:color w:val="000000" w:themeColor="text1"/>
          <w:sz w:val="21"/>
          <w:szCs w:val="21"/>
          <w:highlight w:val="none"/>
          <w14:textFill>
            <w14:solidFill>
              <w14:schemeClr w14:val="tx1"/>
            </w14:solidFill>
          </w14:textFill>
        </w:rPr>
        <w:br w:type="page" w:clear="all"/>
      </w:r>
      <w:r/>
    </w:p>
    <w:p>
      <w:pPr>
        <w:pStyle w:val="707"/>
        <w:ind w:right="0"/>
        <w:jc w:val="center"/>
        <w:pageBreakBefore w:val="0"/>
        <w:spacing w:beforeAutospacing="0" w:afterAutospacing="0" w:line="440" w:lineRule="exact"/>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十、残疾人福利性单位声明函（分包号：**）</w:t>
      </w:r>
      <w:r/>
    </w:p>
    <w:p>
      <w:pPr>
        <w:pStyle w:val="707"/>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pStyle w:val="707"/>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707"/>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7"/>
        <w:ind w:firstLine="480"/>
        <w:jc w:val="both"/>
        <w:keepLines w:val="0"/>
        <w:keepNext w:val="0"/>
        <w:pageBreakBefore w:val="0"/>
        <w:spacing w:before="0" w:beforeAutospacing="0" w:after="0" w:afterAutospacing="0" w:line="440"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。2、中标供应商为残疾人福利单位的，此声明函将随中标结果同时公告，接受社会监督</w:t>
      </w:r>
      <w:r/>
    </w:p>
    <w:p>
      <w:pPr>
        <w:pStyle w:val="707"/>
        <w:ind w:left="0" w:right="0" w:firstLine="0"/>
        <w:jc w:val="both"/>
        <w:pageBreakBefore w:val="0"/>
        <w:spacing w:beforeAutospacing="0" w:afterAutospacing="0" w:line="0" w:lineRule="atLeas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left="0" w:right="0" w:firstLine="0"/>
        <w:jc w:val="both"/>
        <w:pageBreakBefore w:val="0"/>
        <w:spacing w:beforeAutospacing="0" w:afterAutospacing="0" w:line="0" w:lineRule="atLeas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707"/>
        <w:ind w:left="0" w:right="0" w:firstLine="0"/>
        <w:jc w:val="center"/>
        <w:pageBreakBefore w:val="0"/>
        <w:spacing w:beforeAutospacing="0" w:afterAutospacing="0" w:line="0" w:lineRule="atLeast"/>
        <w:shd w:val="clear" w:color="auto"/>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供应商全称（加盖CA电子公章）：</w:t>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firstLine="424"/>
        <w:spacing w:before="0" w:beforeAutospacing="0" w:after="0" w:afterAutospacing="0" w:line="500" w:lineRule="atLeast"/>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7"/>
        <w:ind w:left="0" w:right="0" w:firstLine="0"/>
        <w:jc w:val="center"/>
        <w:pageBreakBefore w:val="0"/>
        <w:spacing w:beforeAutospacing="0" w:afterAutospacing="0" w:line="0" w:lineRule="atLeas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十一、联合体协议（参考格式）（分包号：**）</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（联合体中各供应商全称）在此达成以下协议：</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1、我们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（供应商1），（供应商2） ，……</w:t>
      </w:r>
      <w:r>
        <w:rPr>
          <w:rFonts w:hint="eastAsia" w:ascii="宋体" w:hAnsi="宋体" w:eastAsia="宋体" w:cs="宋体"/>
          <w:color w:val="000000" w:themeColor="text1"/>
          <w:sz w:val="21"/>
          <w:szCs w:val="21"/>
          <w:highlight w:val="none"/>
          <w14:textFill>
            <w14:solidFill>
              <w14:schemeClr w14:val="tx1"/>
            </w14:solidFill>
          </w14:textFill>
        </w:rPr>
        <w:t xml:space="preserve">自愿组成联合体，参加盐城市政府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组织的采购编号为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（编号全称），（项目全称）</w:t>
      </w:r>
      <w:r>
        <w:rPr>
          <w:rFonts w:hint="eastAsia" w:ascii="宋体" w:hAnsi="宋体" w:eastAsia="宋体" w:cs="宋体"/>
          <w:color w:val="000000" w:themeColor="text1"/>
          <w:sz w:val="21"/>
          <w:szCs w:val="21"/>
          <w:highlight w:val="none"/>
          <w14:textFill>
            <w14:solidFill>
              <w14:schemeClr w14:val="tx1"/>
            </w14:solidFill>
          </w14:textFill>
        </w:rPr>
        <w:t xml:space="preserve">项目（分包号：**）的政府采购活动，我联合体指定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为牵头单位（牵头单位必须为联合体成员）。</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备注：本招标文件中要求加盖CA电子签章的地方，仅需加盖牵头单位的CA电子签章。</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707"/>
        <w:ind w:left="0" w:right="0" w:firstLine="0"/>
        <w:jc w:val="center"/>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联合体中各供应商全称（公章）：     </w:t>
      </w:r>
      <w:r/>
    </w:p>
    <w:p>
      <w:pPr>
        <w:pStyle w:val="707"/>
        <w:ind w:left="0" w:right="0" w:firstLine="0"/>
        <w:jc w:val="both"/>
        <w:pageBreakBefore w:val="0"/>
        <w:spacing w:beforeAutospacing="0" w:afterAutospacing="0" w:line="36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w:t>
      </w:r>
      <w:r/>
    </w:p>
    <w:p>
      <w:pPr>
        <w:ind w:right="-275"/>
        <w:jc w:val="center"/>
        <w:spacing w:before="50" w:after="50"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both"/>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pStyle w:val="736"/>
        <w:jc w:val="center"/>
        <w:rPr>
          <w:rFonts w:hint="default" w:ascii="黑体" w:hAnsi="黑体" w:eastAsia="黑体"/>
          <w:b w:val="0"/>
          <w:bCs/>
          <w:color w:val="000000" w:themeColor="text1"/>
          <w:sz w:val="24"/>
          <w:szCs w:val="24"/>
          <w:lang w:val="en-US" w:eastAsia="zh-CN"/>
          <w14:textFill>
            <w14:solidFill>
              <w14:schemeClr w14:val="tx1"/>
            </w14:solidFill>
          </w14:textFill>
        </w:rPr>
      </w:pPr>
      <w:r>
        <w:rPr>
          <w:rFonts w:hint="eastAsia" w:ascii="黑体" w:hAnsi="黑体" w:eastAsia="黑体"/>
          <w:b w:val="0"/>
          <w:bCs/>
          <w:color w:val="000000" w:themeColor="text1"/>
          <w:sz w:val="24"/>
          <w:szCs w:val="24"/>
          <w:lang w:val="en-US" w:eastAsia="zh-CN"/>
          <w14:textFill>
            <w14:solidFill>
              <w14:schemeClr w14:val="tx1"/>
            </w14:solidFill>
          </w14:textFill>
        </w:rPr>
        <w:t xml:space="preserve">十二、投标报价分项表</w:t>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tbl>
      <w:tblPr>
        <w:tblStyle w:val="69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1866"/>
        <w:gridCol w:w="673"/>
        <w:gridCol w:w="718"/>
        <w:gridCol w:w="2681"/>
        <w:gridCol w:w="979"/>
        <w:gridCol w:w="1492"/>
      </w:tblGrid>
      <w:tr>
        <w:trPr>
          <w:jc w:val="center"/>
          <w:trHeight w:val="100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spacing w:line="240" w:lineRule="auto"/>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2025-2026、2026-2027年大丰城区主次干道、桥梁、排水等市政设施及标志标线、栏杆等道路交通设施养护项目采购包一（东宁路以西(不含东宁路)）</w:t>
            </w:r>
            <w:r/>
          </w:p>
        </w:tc>
      </w:tr>
      <w:tr>
        <w:trPr>
          <w:jc w:val="center"/>
          <w:trHeight w:val="90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465"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c>
          <w:tcPr>
            <w:shd w:val="clear" w:color="auto" w:fill="auto"/>
            <w:tcBorders>
              <w:top w:val="single" w:color="000000" w:sz="8"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全费用综合单价（元）</w:t>
            </w:r>
            <w:r/>
          </w:p>
        </w:tc>
        <w:tc>
          <w:tcPr>
            <w:shd w:val="clear" w:color="auto" w:fill="auto"/>
            <w:tcBorders>
              <w:top w:val="single" w:color="000000" w:sz="8" w:space="0"/>
              <w:left w:val="single" w:color="000000" w:sz="4" w:space="0"/>
              <w:bottom w:val="single" w:color="000000" w:sz="4" w:space="0"/>
              <w:right w:val="single" w:color="000000" w:sz="8" w:space="0"/>
            </w:tcBorders>
            <w:tcW w:w="822"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合 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（元）</w:t>
            </w:r>
            <w:r/>
          </w:p>
        </w:tc>
      </w:tr>
      <w:tr>
        <w:trPr>
          <w:jc w:val="cente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（一）+（二）+（三）+（四）+（五）+（六）</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right"/>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right"/>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17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9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2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2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7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（六）</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井盖专项整治（小计）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2、浇筑20cm厚C25混凝土，2m*2m 内配Φ12@150mm 双层双向钢筋网；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9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620"/>
        </w:trPr>
        <w:tc>
          <w:tcPr>
            <w:shd w:val="clear" w:color="auto" w:fill="fce4d6"/>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center"/>
              <w:keepLines w:val="0"/>
              <w:keepNext w:val="0"/>
              <w:spacing w:line="240" w:lineRule="auto"/>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三</w:t>
            </w:r>
            <w:r/>
          </w:p>
        </w:tc>
        <w:tc>
          <w:tcPr>
            <w:shd w:val="clear" w:color="auto" w:fill="fce4d6"/>
            <w:tcBorders>
              <w:top w:val="single" w:color="000000" w:sz="4" w:space="0"/>
              <w:left w:val="single" w:color="000000" w:sz="4" w:space="0"/>
              <w:bottom w:val="single" w:color="000000" w:sz="8" w:space="0"/>
              <w:right w:val="single" w:color="000000" w:sz="4" w:space="0"/>
            </w:tcBorders>
            <w:tcW w:w="943"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工程费用合计</w:t>
            </w:r>
            <w:r/>
          </w:p>
        </w:tc>
        <w:tc>
          <w:tcPr>
            <w:shd w:val="clear" w:color="auto" w:fill="fce4d6"/>
            <w:tcBorders>
              <w:top w:val="single" w:color="000000" w:sz="4" w:space="0"/>
              <w:left w:val="single" w:color="000000" w:sz="4" w:space="0"/>
              <w:bottom w:val="single" w:color="000000" w:sz="8" w:space="0"/>
              <w:right w:val="single" w:color="000000" w:sz="4" w:space="0"/>
            </w:tcBorders>
            <w:tcW w:w="384"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元</w:t>
            </w:r>
            <w:r/>
          </w:p>
        </w:tc>
        <w:tc>
          <w:tcPr>
            <w:gridSpan w:val="3"/>
            <w:shd w:val="clear" w:color="auto" w:fill="fce4d6"/>
            <w:tcBorders>
              <w:top w:val="single" w:color="000000" w:sz="4" w:space="0"/>
              <w:left w:val="single" w:color="000000" w:sz="4" w:space="0"/>
              <w:bottom w:val="single" w:color="000000" w:sz="8" w:space="0"/>
              <w:right w:val="single" w:color="000000" w:sz="4" w:space="0"/>
            </w:tcBorders>
            <w:tcW w:w="2420" w:type="pct"/>
            <w:vAlign w:val="center"/>
            <w:textDirection w:val="lrTb"/>
            <w:noWrap w:val="false"/>
          </w:tcPr>
          <w:p>
            <w:pPr>
              <w:jc w:val="center"/>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（一+二）</w:t>
            </w:r>
            <w:r/>
          </w:p>
        </w:tc>
        <w:tc>
          <w:tcPr>
            <w:shd w:val="clear" w:color="auto" w:fill="fce4d6"/>
            <w:tcBorders>
              <w:top w:val="single" w:color="000000" w:sz="4" w:space="0"/>
              <w:left w:val="single" w:color="000000" w:sz="4" w:space="0"/>
              <w:bottom w:val="single" w:color="000000" w:sz="8" w:space="0"/>
              <w:right w:val="single" w:color="000000" w:sz="8" w:space="0"/>
            </w:tcBorders>
            <w:tcW w:w="822" w:type="pct"/>
            <w:vAlign w:val="center"/>
            <w:textDirection w:val="lrTb"/>
            <w:noWrap w:val="false"/>
          </w:tcPr>
          <w:p>
            <w:pPr>
              <w:jc w:val="center"/>
              <w:spacing w:line="240" w:lineRule="auto"/>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444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spacing w:line="240" w:lineRule="auto"/>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注：1、复合井盖品牌要求：畅安、新大地、岳峰；</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2、球墨铸铁井盖品牌要求：新大地、宏华、高强；</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3、HDPE双壁缠绕管品牌要求：中财、金牛、金德；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4、荷兰砖、透水砖、仿石材砖、盲道砖、仿石材侧石/平石、混凝土侧石/平石品牌要求：盐城“ 荣立 ”、昆山“通海 ”、江苏“大凡 ”；铺装材质须经发包人认可后方可施工。</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5、隔离栏杆品牌要求：江苏国强、百川、瞬通 ；</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6、清单中“建设方指定地点 ”为大丰住建局南侧仓库；</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7、巡查费用由投标人在总价中综合考虑，每日1次的巡查并填写巡查点位表，每旬提供现场水印照 片，扶正隔离栏、井盖复位及掉漆生锈井盖的除锈补漆、沥青路面日常养护；</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8、本工程采用全费用综合单价：包含人工、材料、机械、管理费、利润、其他相关的措施费、风  险费、规费及税金等完成工作内容的全部费用。投标人需要综合考虑本项目的项目特征、不能连续作业 、行车/行人带来的干扰等实际可能影响报价的因素。</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9、所有更换的内容增加约定“更换XX时若存在部分已缺失不需拆除，结算时不调整单价”</w:t>
            </w:r>
            <w:r/>
          </w:p>
        </w:tc>
      </w:tr>
    </w:tbl>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br w:type="page" w:clear="all"/>
      </w:r>
      <w:r/>
    </w:p>
    <w:tbl>
      <w:tblPr>
        <w:tblStyle w:val="69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1866"/>
        <w:gridCol w:w="673"/>
        <w:gridCol w:w="718"/>
        <w:gridCol w:w="2681"/>
        <w:gridCol w:w="979"/>
        <w:gridCol w:w="1492"/>
      </w:tblGrid>
      <w:tr>
        <w:trPr>
          <w:trHeight w:val="100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2025-2026、2026-2027年大丰城区主次干道、桥梁、排水等市政设施及标志标线、栏杆等道路交通设施养护项目采购包二（东宁路（含）以东、五一路（含）以西、幸福路（不含）以北）</w:t>
            </w:r>
            <w:r/>
          </w:p>
        </w:tc>
      </w:tr>
      <w:tr>
        <w:trPr>
          <w:trHeight w:val="90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465"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c>
          <w:tcPr>
            <w:shd w:val="clear" w:color="auto" w:fill="auto"/>
            <w:tcBorders>
              <w:top w:val="single" w:color="000000" w:sz="8"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全费用综合单价（元）</w:t>
            </w:r>
            <w:r/>
          </w:p>
        </w:tc>
        <w:tc>
          <w:tcPr>
            <w:shd w:val="clear" w:color="auto" w:fill="auto"/>
            <w:tcBorders>
              <w:top w:val="single" w:color="000000" w:sz="8" w:space="0"/>
              <w:left w:val="single" w:color="000000" w:sz="4" w:space="0"/>
              <w:bottom w:val="single" w:color="000000" w:sz="4" w:space="0"/>
              <w:right w:val="single" w:color="000000" w:sz="8" w:space="0"/>
            </w:tcBorders>
            <w:tcW w:w="82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合 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（元）</w:t>
            </w:r>
            <w:r/>
          </w:p>
        </w:tc>
      </w:tr>
      <w:tr>
        <w:trP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（一）+（二）+（三）+（四）+（五）</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2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2、浇筑20cm厚C25混凝土，2m*2m 内配Φ12@150mm 双层双向钢筋网；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9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fce4d6"/>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三</w:t>
            </w:r>
            <w:r/>
          </w:p>
        </w:tc>
        <w:tc>
          <w:tcPr>
            <w:shd w:val="clear" w:color="auto" w:fill="fce4d6"/>
            <w:tcBorders>
              <w:top w:val="single" w:color="000000" w:sz="4" w:space="0"/>
              <w:left w:val="single" w:color="000000" w:sz="4" w:space="0"/>
              <w:bottom w:val="single" w:color="000000" w:sz="8"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工程费用合计</w:t>
            </w:r>
            <w:r/>
          </w:p>
        </w:tc>
        <w:tc>
          <w:tcPr>
            <w:shd w:val="clear" w:color="auto" w:fill="fce4d6"/>
            <w:tcBorders>
              <w:top w:val="single" w:color="000000" w:sz="4" w:space="0"/>
              <w:left w:val="single" w:color="000000" w:sz="4" w:space="0"/>
              <w:bottom w:val="single" w:color="000000" w:sz="8"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元</w:t>
            </w:r>
            <w:r/>
          </w:p>
        </w:tc>
        <w:tc>
          <w:tcPr>
            <w:gridSpan w:val="3"/>
            <w:shd w:val="clear" w:color="auto" w:fill="fce4d6"/>
            <w:tcBorders>
              <w:top w:val="single" w:color="000000" w:sz="4" w:space="0"/>
              <w:left w:val="single" w:color="000000" w:sz="4" w:space="0"/>
              <w:bottom w:val="single" w:color="000000" w:sz="8" w:space="0"/>
              <w:right w:val="single" w:color="000000" w:sz="4" w:space="0"/>
            </w:tcBorders>
            <w:tcW w:w="242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（一+二）</w:t>
            </w:r>
            <w:r/>
          </w:p>
        </w:tc>
        <w:tc>
          <w:tcPr>
            <w:shd w:val="clear" w:color="auto" w:fill="fce4d6"/>
            <w:tcBorders>
              <w:top w:val="single" w:color="000000" w:sz="4" w:space="0"/>
              <w:left w:val="single" w:color="000000" w:sz="4" w:space="0"/>
              <w:bottom w:val="single" w:color="000000" w:sz="8"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440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注：1、复合井盖品牌要求：畅安、新大地、岳峰；</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2、球墨铸铁井盖品牌要求：新大地、宏华、高强；</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3、HDPE双壁缠绕管品牌要求：中财、金牛、金德；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4、荷兰砖、透水砖、仿石材砖、盲道砖、仿石材侧石/平石、混凝土侧石/平石品牌要求：盐城“ 荣立 ”、昆山“通海 ”、江苏“大凡 ”；铺装材质须经发包人认可后方可施工。</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5、隔离栏杆品牌要求：江苏国强、百川、瞬通 ；</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6、清单中“建设方指定地点 ”为大丰住建局南侧仓库；</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7、巡查费用由投标人在总价中综合考虑，每日1次的巡查并填写巡查点位表，每旬提供现场水印照 片，扶正隔离栏、井盖复位及掉漆生锈井盖的除锈补漆、沥青路面日常养护；</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8、本工程采用全费用综合单价：包含人工、材料、机械、管理费、利润、其他相关的措施费、风  险费、规费及税金等完成工作内容的全部费用。投标人需要综合考虑本项目的项目特征、不能连续作业 、行车/行人带来的干扰等实际可能影响报价的因素。</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9、所有更换的内容增加约定“更换XX时若存在部分已缺失不需拆除，结算时不调整单价”</w:t>
            </w:r>
            <w:r/>
          </w:p>
        </w:tc>
      </w:tr>
    </w:tbl>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br w:type="page" w:clear="all"/>
      </w:r>
      <w:r/>
    </w:p>
    <w:tbl>
      <w:tblPr>
        <w:tblStyle w:val="69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1866"/>
        <w:gridCol w:w="673"/>
        <w:gridCol w:w="718"/>
        <w:gridCol w:w="2681"/>
        <w:gridCol w:w="979"/>
        <w:gridCol w:w="1492"/>
      </w:tblGrid>
      <w:tr>
        <w:trPr>
          <w:trHeight w:val="100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rPr>
                <w:rFonts w:ascii="仿宋" w:hAnsi="仿宋" w:eastAsia="仿宋" w:cs="仿宋"/>
                <w:b/>
                <w:bCs/>
                <w:i w:val="0"/>
                <w:iCs w:val="0"/>
                <w:color w:val="000000"/>
                <w:sz w:val="22"/>
                <w:szCs w:val="22"/>
                <w:u w:val="none"/>
              </w:rPr>
            </w:pPr>
            <w:r>
              <w:rPr>
                <w:rFonts w:hint="eastAsia" w:asciiTheme="majorEastAsia" w:hAnsiTheme="majorEastAsia" w:eastAsiaTheme="majorEastAsia"/>
                <w:color w:val="000000" w:themeColor="text1"/>
                <w:sz w:val="22"/>
                <w:szCs w:val="22"/>
                <w14:textFill>
                  <w14:solidFill>
                    <w14:schemeClr w14:val="tx1"/>
                  </w14:solidFill>
                </w14:textFill>
              </w:rPr>
              <w:br w:type="page" w:clear="all"/>
            </w:r>
            <w:r>
              <w:rPr>
                <w:rFonts w:hint="eastAsia" w:ascii="仿宋" w:hAnsi="仿宋" w:eastAsia="仿宋" w:cs="仿宋"/>
                <w:b/>
                <w:bCs/>
                <w:i w:val="0"/>
                <w:iCs w:val="0"/>
                <w:color w:val="000000"/>
                <w:sz w:val="22"/>
                <w:szCs w:val="22"/>
                <w:u w:val="none"/>
                <w:lang w:val="en-US" w:eastAsia="zh-CN" w:bidi="ar"/>
              </w:rPr>
              <w:t xml:space="preserve">2025-2026、2026-2027年大丰城区主次干道、桥梁、排水等市政设施及标志标线、栏杆等道路交通设施养护项目采购包三（东宁路（含）以东、五一路（含）以西、幸福路（含）以南）</w:t>
            </w:r>
            <w:r/>
          </w:p>
        </w:tc>
      </w:tr>
      <w:tr>
        <w:trPr>
          <w:trHeight w:val="90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465"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c>
          <w:tcPr>
            <w:shd w:val="clear" w:color="auto" w:fill="auto"/>
            <w:tcBorders>
              <w:top w:val="single" w:color="000000" w:sz="8"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全费用综合单价（元）</w:t>
            </w:r>
            <w:r/>
          </w:p>
        </w:tc>
        <w:tc>
          <w:tcPr>
            <w:shd w:val="clear" w:color="auto" w:fill="auto"/>
            <w:tcBorders>
              <w:top w:val="single" w:color="000000" w:sz="8" w:space="0"/>
              <w:left w:val="single" w:color="000000" w:sz="4" w:space="0"/>
              <w:bottom w:val="single" w:color="000000" w:sz="4" w:space="0"/>
              <w:right w:val="single" w:color="000000" w:sz="8" w:space="0"/>
            </w:tcBorders>
            <w:tcW w:w="82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合 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（元）</w:t>
            </w:r>
            <w:r/>
          </w:p>
        </w:tc>
      </w:tr>
      <w:tr>
        <w:trP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（一）+（二）+（三）+（四）+（五）</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2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2、浇筑20cm厚C25混凝土，2m*2m 内配Φ12@150mm 双层双向钢筋网；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9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fce4d6"/>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三</w:t>
            </w:r>
            <w:r/>
          </w:p>
        </w:tc>
        <w:tc>
          <w:tcPr>
            <w:shd w:val="clear" w:color="auto" w:fill="fce4d6"/>
            <w:tcBorders>
              <w:top w:val="single" w:color="000000" w:sz="4" w:space="0"/>
              <w:left w:val="single" w:color="000000" w:sz="4" w:space="0"/>
              <w:bottom w:val="single" w:color="000000" w:sz="8"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工程费用合计</w:t>
            </w:r>
            <w:r/>
          </w:p>
        </w:tc>
        <w:tc>
          <w:tcPr>
            <w:shd w:val="clear" w:color="auto" w:fill="fce4d6"/>
            <w:tcBorders>
              <w:top w:val="single" w:color="000000" w:sz="4" w:space="0"/>
              <w:left w:val="single" w:color="000000" w:sz="4" w:space="0"/>
              <w:bottom w:val="single" w:color="000000" w:sz="8"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元</w:t>
            </w:r>
            <w:r/>
          </w:p>
        </w:tc>
        <w:tc>
          <w:tcPr>
            <w:gridSpan w:val="3"/>
            <w:shd w:val="clear" w:color="auto" w:fill="fce4d6"/>
            <w:tcBorders>
              <w:top w:val="single" w:color="000000" w:sz="4" w:space="0"/>
              <w:left w:val="single" w:color="000000" w:sz="4" w:space="0"/>
              <w:bottom w:val="single" w:color="000000" w:sz="8" w:space="0"/>
              <w:right w:val="single" w:color="000000" w:sz="4" w:space="0"/>
            </w:tcBorders>
            <w:tcW w:w="242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（一+二）</w:t>
            </w:r>
            <w:r/>
          </w:p>
        </w:tc>
        <w:tc>
          <w:tcPr>
            <w:shd w:val="clear" w:color="auto" w:fill="fce4d6"/>
            <w:tcBorders>
              <w:top w:val="single" w:color="000000" w:sz="4" w:space="0"/>
              <w:left w:val="single" w:color="000000" w:sz="4" w:space="0"/>
              <w:bottom w:val="single" w:color="000000" w:sz="8"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426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注：1、复合井盖品牌要求：畅安、新大地、岳峰；</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2、球墨铸铁井盖品牌要求：新大地、宏华、高强；</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3、HDPE双壁缠绕管品牌要求：中财、金牛、金德；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4、荷兰砖、透水砖、仿石材砖、盲道砖、仿石材侧石/平石、混凝土侧石/平石品牌要求：盐城“ 荣立 ”、昆山“通海 ”、江苏“大凡 ”；铺装材质须经发包人认可后方可施工。</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5、隔离栏杆品牌要求：江苏国强、百川、瞬通 ；</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6、清单中“建设方指定地点 ”为大丰住建局南侧仓库；</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7、巡查费用由投标人在总价中综合考虑，每日1次的巡查并填写巡查点位表，每旬提供现场水印照 片，扶正隔离栏、井盖复位及掉漆生锈井盖的除锈补漆、沥青路面日常养护；</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8、本工程采用全费用综合单价：包含人工、材料、机械、管理费、利润、其他相关的措施费、风  险费、规费及税金等完成工作内容的全部费用。投标人需要综合考虑本项目的项目特征、不能连续作业 、行车/行人带来的干扰等实际可能影响报价的因素。</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9、所有更换的内容增加约定“更换XX时若存在部分已缺失不需拆除，结算时不调整单价”</w:t>
            </w:r>
            <w:r/>
          </w:p>
        </w:tc>
      </w:tr>
    </w:tbl>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br w:type="page" w:clear="all"/>
      </w:r>
      <w:r/>
    </w:p>
    <w:tbl>
      <w:tblPr>
        <w:tblStyle w:val="69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1866"/>
        <w:gridCol w:w="673"/>
        <w:gridCol w:w="718"/>
        <w:gridCol w:w="2681"/>
        <w:gridCol w:w="979"/>
        <w:gridCol w:w="1492"/>
      </w:tblGrid>
      <w:tr>
        <w:trPr>
          <w:trHeight w:val="100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rPr>
                <w:rFonts w:ascii="仿宋" w:hAnsi="仿宋" w:eastAsia="仿宋" w:cs="仿宋"/>
                <w:b/>
                <w:bCs/>
                <w:i w:val="0"/>
                <w:iCs w:val="0"/>
                <w:color w:val="000000"/>
                <w:sz w:val="22"/>
                <w:szCs w:val="22"/>
                <w:u w:val="none"/>
              </w:rPr>
            </w:pPr>
            <w:r>
              <w:rPr>
                <w:rFonts w:hint="eastAsia" w:asciiTheme="majorEastAsia" w:hAnsiTheme="majorEastAsia" w:eastAsiaTheme="majorEastAsia"/>
                <w:color w:val="000000" w:themeColor="text1"/>
                <w:sz w:val="22"/>
                <w:szCs w:val="22"/>
                <w14:textFill>
                  <w14:solidFill>
                    <w14:schemeClr w14:val="tx1"/>
                  </w14:solidFill>
                </w14:textFill>
              </w:rPr>
              <w:br w:type="page" w:clear="all"/>
            </w:r>
            <w:r>
              <w:rPr>
                <w:rFonts w:hint="eastAsia" w:ascii="仿宋" w:hAnsi="仿宋" w:eastAsia="仿宋" w:cs="仿宋"/>
                <w:b/>
                <w:bCs/>
                <w:i w:val="0"/>
                <w:iCs w:val="0"/>
                <w:color w:val="000000"/>
                <w:sz w:val="22"/>
                <w:szCs w:val="22"/>
                <w:u w:val="none"/>
                <w:lang w:val="en-US" w:eastAsia="zh-CN" w:bidi="ar"/>
              </w:rPr>
              <w:t xml:space="preserve">2025-2026、2026-2027年大丰城区主次干道、桥梁、排水等市政设施及标志标线、栏杆等道路交通设施养护项目采购包四（五一路（不含）以东）</w:t>
            </w:r>
            <w:r/>
          </w:p>
        </w:tc>
      </w:tr>
      <w:tr>
        <w:trPr>
          <w:trHeight w:val="900"/>
        </w:trPr>
        <w:tc>
          <w:tcPr>
            <w:shd w:val="clear" w:color="auto" w:fill="auto"/>
            <w:tcBorders>
              <w:top w:val="single" w:color="000000" w:sz="8"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465"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c>
          <w:tcPr>
            <w:shd w:val="clear" w:color="auto" w:fill="auto"/>
            <w:tcBorders>
              <w:top w:val="single" w:color="000000" w:sz="8"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全费用综合单价（元）</w:t>
            </w:r>
            <w:r/>
          </w:p>
        </w:tc>
        <w:tc>
          <w:tcPr>
            <w:shd w:val="clear" w:color="auto" w:fill="auto"/>
            <w:tcBorders>
              <w:top w:val="single" w:color="000000" w:sz="8" w:space="0"/>
              <w:left w:val="single" w:color="000000" w:sz="4" w:space="0"/>
              <w:bottom w:val="single" w:color="000000" w:sz="4" w:space="0"/>
              <w:right w:val="single" w:color="000000" w:sz="8" w:space="0"/>
            </w:tcBorders>
            <w:tcW w:w="82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合 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（元）</w:t>
            </w:r>
            <w:r/>
          </w:p>
        </w:tc>
      </w:tr>
      <w:tr>
        <w:trP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shd w:val="clear" w:color="auto" w:fill="fce4d6"/>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维修或更换项目</w:t>
            </w:r>
            <w:r/>
          </w:p>
        </w:tc>
        <w:tc>
          <w:tcPr>
            <w:gridSpan w:val="4"/>
            <w:shd w:val="clear" w:color="auto" w:fill="fce4d6"/>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（一）+（二）+（三）+（四）+（五）</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道路（小计）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AC-13，SBS改性沥青路面摊铺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2、摊铺AC-13，SBS改性沥青；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2、摊铺AC-13沥青；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AC-25沥青路面摊铺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2、摊铺AC-25沥青；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SMA-13沥青路面摊铺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2、摊铺SMA沥青；</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沥青冷补料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2、沥青冷补料摊铺；</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3、含小坑洞修补（0.3m2以内），拆除、外运。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1、沥青下封层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2、含集料、乳化沥青</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玻纤格栅</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1、材质：玻璃纤维格栅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2、型号：GG5050，强度80KN，三经三纬。</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2、C30混凝土路面浇筑；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3、包含模板、养生、压纹、按规范设置伸缩缝等费用。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2、C30混凝土路基础浇筑；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3、包含模板、养生等费用。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沥青粘层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1、表面清理，喷洒乳化沥青粘层油；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2、喷油量:均匀喷晒不漏喷。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抗裂贴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1、材料名称:抗裂贴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2、规格：2mm厚，48cm宽自粘型聚合物改性沥青抗裂贴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沥青路面灌缝</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1、缝内清理、清扫；</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2、PG胶胶灌封。</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水泥混凝土路挖除(含破碎)</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1、切缝、混凝土板面破除、清底、废渣清理、外运。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2、一次破碎拆除面积≥200m</w:t>
            </w:r>
            <w:r>
              <w:rPr>
                <w:rFonts w:hint="eastAsia" w:ascii="仿宋" w:hAnsi="仿宋" w:eastAsia="仿宋" w:cs="仿宋"/>
                <w:i w:val="0"/>
                <w:iCs w:val="0"/>
                <w:color w:val="000000"/>
                <w:sz w:val="22"/>
                <w:szCs w:val="22"/>
                <w:u w:val="none"/>
                <w:vertAlign w:val="superscript"/>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以上的，残值抵充施工费及运费。</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拆除水稳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1、切缝、拆除、清扫废碴、外运。</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1、面积≤0.3m2；切缝、破除、清理、垃圾外运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砼快速修补料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2、浇筑快速混凝土 C30JK-2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级配碎石铺筑</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1、压实两遍以上</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2、压实度不低于0.96</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桥梁及其附属设施(小计）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钢筋混凝土桥栏杆更换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2、重新安装新的钢筋混凝土栏杆；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石材桥栏板更换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1、拆除已损坏的扶手栏杆，清除废碴、外运；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2、重新安装新的石材扶手栏杆；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铸铁防撞护栏更换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1、拆除已损坏的护栏，清除废碴、外运；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2、重新安装新的铸铁防撞护栏；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3、含油漆/涂料、安全防护的费用。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石材桥栏杆小横杆更换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1、拆除已损坏的小横杆，清除废碴、外运；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石材桥栏杆立柱更换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1、拆除已损坏的立柱，清除废碴、外运；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2、重新安装新的石材立柱；</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3、含安全防护的费用。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桥栏杆、扶手刷防锈漆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1、栏杆除锈、铲除剥落层、垃圾清理外运；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2、涂刷防锈底漆一遍，涂刷面漆两遍。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1、铲除破损砂浆；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2、2cm1:2.5水泥砂浆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伸缩缝混凝土</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1、切缝、破除、清理、垃圾外运；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2、浇筑混凝土 C40；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3、洒水、养护、覆盖。</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1、拆除损坏的伸缩缝</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2、按原型号并结合建设单位意见更换恢复</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人行道维修与更换（小计）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更换荷兰砖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1、原有荷兰砖已损坏，材料换新；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更换透水砖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1、原有透水砖已损坏，材料换新；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更换仿石材砖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更换盲道砖</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1、原有盲道砖已损坏，材料换新；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更换仿古砖更换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1、原有仿古砖已损坏，材料换新；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3、底涂处理、刮胶，PVC盲道贴（平整部分厚度约3mm ）粘贴。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盲道贴（不锈钢）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1、整理地面，除去凸起和疏松地块并敲除空鼓的地表，对地面基础有突出凹凸的应进行重点打磨；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2、对起壳、起沙地面重新处理；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3、底涂处理、刮胶，不锈钢300*300*1.2mm盲道贴（平整部分）粘贴。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更换广场砖道板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1、原有广场砖道板已损坏，材料换新；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更换草坪砖道板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1、原有草坪砖道板已损坏，材料换新；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浇筑混凝土垫层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1、混凝土标号：C25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新增车止石Φ200,H=230mm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1、花岗岩石材车止石</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新增车止石Φ200,H=600mm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新增车止石Φ300，H=350mm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新增车止石Φ300，H=800mm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新增车止石Φ400，H=450mm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新增车止石Φ500，H=550mm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新增车止石200*200*700mm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新增车止石250*250*600mm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新增车止石300*300*700mm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新增石球300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新增石球500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新增石球600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车止石位置调整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1、根据建设方要求调整现场原有车止石位置；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石球位置调整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1、根据建设方要求调整现场原有石球位置；</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2、结算时，不分大小，均按数量统计计算。</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2、道板厚度：厚度≤3cm；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更换石材道板（含盲道板）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2、道板厚度：3cm＜厚度≤5cm；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2、道板厚度：5cm＜厚度＜7cm；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更换石材车行道</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1、原有石材车行道板已损坏，同材质材料换新；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2、道板厚度：厚度≥7cm；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维修石材道板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1、原有石材道板未损坏，材料利旧；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2、道板厚度综合考虑，包含但不局限于3cm、5cm、7cm；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修补砖砌树池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1、原有砖砌体已损坏，材料换新；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砖砌挡墙</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1、含基础、混凝土砖砌筑、表面抹灰等费用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2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凿树根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1、凿除树根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2、凿除后基层平整</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3、凿除后运出现场</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维修石材树池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更换树池石材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1、原有石材已损坏，同材质材料换新，规格参照原树池尺寸；</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4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树池铺设石子</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1、铺设黑色小石子，不漏土</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维修花坛石材(顶、侧面)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更换花坛石材（顶面）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1、原有石材已损坏，材料（同材质同色）换新，含磨边费用；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5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更换花坛石材（侧面）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1、原有石材已损坏，材料（同材质同色）换新；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更换防腐木人行道(含基础更换）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1、拆除已损坏的防腐木板及龙骨，材料换新；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2、包含拆除垃圾外运，新铺防腐木人行道及配套龙骨。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更换文化石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1、原有文化石已损坏，材料换新；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2、含拆除、垃圾清运、干拌水泥砂浆垫层文化石铺贴等费用。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1、原有侧缘石已损坏，需更换（按原规格材质）；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维修预制侧缘石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1、原有侧缘石未损坏，材料利旧；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2、含保护性拆除、垃圾清运、干拌水泥砂浆垫层、勾缝等费用。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1、原有圆头侧石已损坏，材料换新（原规格材质）；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维修石材平石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1、原有平石未损坏，材料利旧；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维修石材侧石圆头</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1、原有圆头侧石未损坏，材料利旧；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2、含保护性拆除、垃圾清运、干拌水泥砂浆垫层等费用。</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降道口</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1、拆除面层，原有基层破除、挖土、垃圾外运；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2、C25混凝土垫层浇筑、面层铺贴（式样及材质同原有面层）；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3、施工完成后，高差＜1cm，坡度＜1：12，符合无障碍要求；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4、内容包含侧石及平石调整内容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辅助交通设施（小计）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3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1、规格：Φ89*3mm；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1、规格：Φ102*3mm；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1、规格：Φ114*3mm；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1、规格：Φ140*3mm；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2、材质：镀锌钢管；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3、包含打孔、安装、工程级反光膜等费用；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4、高度按1.2m（含地下部分）考虑。</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U型杆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展开延长米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1、规格：Φ76*2mm；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2、包含安装、油漆等费用。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减速带</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1、规格：500mm*300mm* 50mm；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2、材质：橡胶。</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双面爆闪灯（含立柱、基础）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1、材质：铝合金外壳；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2、蓄电池：12V/8AH；</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3、太阳能板：18V/10W。</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2、规格：Ф1000mm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8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广角镜（含立柱、基础）</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1、材质：PC+ABS</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2、规格：Ф1200mm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3、立柱、基础满足使用要求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；综合单价结算时不再调整</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拆除隔离栏杆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1、拆除原有护栏，分类归堆、经建设方确认工程量后运至建设方指定地点；</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62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隔离栏（新增）</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1、立柱：120*120*2mm热镀 锌方管，立柱上配有铜制双 黄反光标，柱高1.15m，净  间距3m；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2、上下横杆：50*50*1.5mm 热镀锌方管，上横杆底部距 地0.9m；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3、中间横小横杆：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30*30*1.2mm热镀锌方管；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4、小立杆：40*40*1.5mm热 镀锌方管；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5、底座：20±0.5kg、</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400*300mm、Pantone432C （高光）铸铁底座；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6、油漆：深灰色静电喷 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7、包含连接螺栓、内膨胀 螺栓等配件、辅材的费用；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8、样式在施工前，需经建 设方确认后方可实施；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9、具体施工位置根据建设  方交办单实施，具体详见附件三</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7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维修隔离栏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1、工作内容包含但不限于柱帽更换、立杆更换、补漆、反光标更换、螺栓更换；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2、包含所需人工、材料、机械等费用；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3、同一时间段同一位置（2km范围内）算一个点位；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4、具体维修位置根据建设方交办单实施。</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中、高考期间护栏租赁</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1、工作内容包含：护栏的安装、拆除、租赁费、封路等相关费用</w:t>
            </w:r>
            <w:r/>
          </w:p>
        </w:tc>
        <w:tc>
          <w:tcPr>
            <w:shd w:val="clear" w:color="auto" w:fill="ffffff"/>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ddebf7"/>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（五）</w:t>
            </w:r>
            <w:r/>
          </w:p>
        </w:tc>
        <w:tc>
          <w:tcPr>
            <w:gridSpan w:val="5"/>
            <w:shd w:val="clear" w:color="auto" w:fill="ddebf7"/>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排水及井盖更换（小计）</w:t>
            </w:r>
            <w:r/>
          </w:p>
        </w:tc>
        <w:tc>
          <w:tcPr>
            <w:shd w:val="clear" w:color="auto" w:fill="ddebf7"/>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DN110UPVC管铺设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DN160UPVC管铺设</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2、更换管道；</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管道混凝土包裹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2、管道规格：DN225,环刚度SN8，胶圈接口；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2、管道规格：DN300,环刚度SN8，胶圈接口；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2、管道规格：DN400,环刚度SN8，胶圈接口；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2、管道规格：DN500,环刚度SN8，胶圈接口；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新增/更换HPDE缠绕管</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1、路面切缝及破除，挖土（包含旧管道拆除）、垃圾清运；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2、管道规格：DN600,环刚度SN8，胶圈接口；</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3、回填、路面原状恢复；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砖砌雨水收集井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1、砌筑井具体做法详见苏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S01-2012，混凝土实心砖砌筑，只考虑内壁抹灰；</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2、井净高根据现场实际情况确定，如需井架、降水等措施，由投标人在报价时综合考虑；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3、工程量按照砖砌井壁工程量计量。</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检查井（圆形）</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更换350mm*450mm，复合材料成套水箅及框（承重等级6T）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更换300mm*500mm，复合材料成套水箅及框（承重等级5T）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更换350mm*500mm，复合材料成套水箅及框（连体式、承重等级13T）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更换350mm*500mm，复合材料成套水箅及框（承重等级13T）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更换400mm*600mm，复合材料井框盖（连体式、承重等级10T）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更换500mm*500mm，复合材料井框盖（承重等级5T）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更换Φ600mm，复合材料井框盖（承重等级20T）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更换Φ700mm，复合材料井框盖（连体式、承重等级25T）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更换Φ700mm，复合材料井框盖（承重等级2T）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更换Φ800mm，复合材料井框盖（承重等级10T）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更换300mm*450mm，复合材料水箅（承重等级6T）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更换300mm*500mm，复合材料水箅（承重等级5T）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更换350mm*500mm，复合材料水箅（承重等级13T）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更换400mm*400mm，复合材料井盖（承重等级5T）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更换450mm*750mm，复合材料井盖（承重等级20T）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更换500mm*500mm，复合材料井盖（承重等级5T）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更换600mm*600mm，复合材料井盖（承重等级12.5T）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更换700mm*700mm，复合材料井盖（承重等级10T）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更换800mm*800mm，复合材料井盖（承重等级10T）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 500mm，复合材料井盖（承重等级10T）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更换Φ600mm，复合材料井盖（承重等级20T）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更换Φ700mm，复合材料井盖（承重等级12.5T）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更换Φ700mm，复合材料井盖（承重等级2T）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更换Φ800mm，复合材料井盖（承重等级10T）</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拆除更换各厚度明沟混凝土盖板</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rPr>
                <w:rFonts w:hint="eastAsia" w:ascii="仿宋" w:hAnsi="仿宋" w:eastAsia="仿宋" w:cs="仿宋"/>
                <w:i w:val="0"/>
                <w:iCs w:val="0"/>
                <w:color w:val="000000"/>
                <w:sz w:val="22"/>
                <w:szCs w:val="22"/>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1、拆除原盖板、废碴清理外运；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2、更换新的盖板</w:t>
            </w:r>
            <w:r>
              <w:rPr>
                <w:rFonts w:hint="eastAsia" w:ascii="仿宋" w:hAnsi="仿宋" w:eastAsia="仿宋" w:cs="仿宋"/>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更换Φ570*100mm，球墨铸铁成套井框盖（五防井盖+防沉降，承重等级D400）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更换Φ650*100mm，球墨铸铁成套井框盖（五防井盖+防沉降，承重等级D400）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更换Φ725*190mm，球墨铸铁成套井框盖（五防井盖+防沉降，承重等级D400）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1、拆除原井盖井框；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3、更换新的井盖井框，具体更换位置根据建设方交办单实施。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更换314*674*120mm，球墨铸铁成套水箅及框（五防井盖+防沉降，承重等级D400）</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1、拆除原水箅及框；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2、分类归堆、经建设方确认工程量后运至建设方指定地点；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3、更换新的水箅及框，具体更换位置根据建设方交办单实施。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4、井盖与路面高差应小于2mm；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5、含因更换框盖造成的路面修复，结算时不因现场实际施工情况调整单价。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0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检查井井周加固</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1、路面切缝及破除，垃圾清运；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2、浇筑20cm厚C25混凝土，2m*2m 内配Φ12@150mm 双层双向钢筋网；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3、恢复原有路面面层；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4、具体加固位置根据建设方交办单实施。</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fce4d6"/>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3748"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c>
          <w:tcPr>
            <w:shd w:val="clear" w:color="auto" w:fill="fce4d6"/>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980"/>
        </w:trPr>
        <w:tc>
          <w:tcPr>
            <w:shd w:val="clear" w:color="auto" w:fill="auto"/>
            <w:tcBorders>
              <w:top w:val="single" w:color="000000" w:sz="4" w:space="0"/>
              <w:left w:val="single" w:color="000000" w:sz="8"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65"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2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00"/>
        </w:trPr>
        <w:tc>
          <w:tcPr>
            <w:shd w:val="clear" w:color="auto" w:fill="fce4d6"/>
            <w:tcBorders>
              <w:top w:val="single" w:color="000000" w:sz="4" w:space="0"/>
              <w:left w:val="single" w:color="000000" w:sz="8" w:space="0"/>
              <w:bottom w:val="single" w:color="000000" w:sz="8" w:space="0"/>
              <w:right w:val="single" w:color="000000" w:sz="4" w:space="0"/>
            </w:tcBorders>
            <w:tcW w:w="428"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三</w:t>
            </w:r>
            <w:r/>
          </w:p>
        </w:tc>
        <w:tc>
          <w:tcPr>
            <w:shd w:val="clear" w:color="auto" w:fill="fce4d6"/>
            <w:tcBorders>
              <w:top w:val="single" w:color="000000" w:sz="4" w:space="0"/>
              <w:left w:val="single" w:color="000000" w:sz="4" w:space="0"/>
              <w:bottom w:val="single" w:color="000000" w:sz="8" w:space="0"/>
              <w:right w:val="single" w:color="000000" w:sz="4" w:space="0"/>
            </w:tcBorders>
            <w:tcW w:w="943"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工程费用合计</w:t>
            </w:r>
            <w:r/>
          </w:p>
        </w:tc>
        <w:tc>
          <w:tcPr>
            <w:shd w:val="clear" w:color="auto" w:fill="fce4d6"/>
            <w:tcBorders>
              <w:top w:val="single" w:color="000000" w:sz="4" w:space="0"/>
              <w:left w:val="single" w:color="000000" w:sz="4" w:space="0"/>
              <w:bottom w:val="single" w:color="000000" w:sz="8"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元</w:t>
            </w:r>
            <w:r/>
          </w:p>
        </w:tc>
        <w:tc>
          <w:tcPr>
            <w:gridSpan w:val="3"/>
            <w:shd w:val="clear" w:color="auto" w:fill="fce4d6"/>
            <w:tcBorders>
              <w:top w:val="single" w:color="000000" w:sz="4" w:space="0"/>
              <w:left w:val="single" w:color="000000" w:sz="4" w:space="0"/>
              <w:bottom w:val="single" w:color="000000" w:sz="8" w:space="0"/>
              <w:right w:val="single" w:color="000000" w:sz="4" w:space="0"/>
            </w:tcBorders>
            <w:tcW w:w="242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（一+二）</w:t>
            </w:r>
            <w:r/>
          </w:p>
        </w:tc>
        <w:tc>
          <w:tcPr>
            <w:shd w:val="clear" w:color="auto" w:fill="fce4d6"/>
            <w:tcBorders>
              <w:top w:val="single" w:color="000000" w:sz="4" w:space="0"/>
              <w:left w:val="single" w:color="000000" w:sz="4" w:space="0"/>
              <w:bottom w:val="single" w:color="000000" w:sz="8" w:space="0"/>
              <w:right w:val="single" w:color="000000" w:sz="8" w:space="0"/>
            </w:tcBorders>
            <w:tcW w:w="822"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428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注：1、复合井盖品牌要求：畅安、新大地、岳峰；</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2、球墨铸铁井盖品牌要求：新大地、宏华、高强；</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3、HDPE双壁缠绕管品牌要求：中财、金牛、金德；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4、荷兰砖、透水砖、仿石材砖、盲道砖、仿石材侧石/平石、混凝土侧石/平石品牌要求：盐城“ 荣立 ”、昆山“通海 ”、江苏“大凡 ”；铺装材质须经发包人认可后方可施工。</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5、隔离栏杆品牌要求：江苏国强、百川、瞬通 ；</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6、清单中“建设方指定地点 ”为大丰住建局南侧仓库；</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7、巡查费用由投标人在总价中综合考虑，每日1次的巡查并填写巡查点位表，每旬提供现场水印照 片，扶正隔离栏、井盖复位及掉漆生锈井盖的除锈补漆、沥青路面日常养护；</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8、本工程采用全费用综合单价：包含人工、材料、机械、管理费、利润、其他相关的措施费、风  险费、规费及税金等完成工作内容的全部费用。投标人需要综合考虑本项目的项目特征、不能连续作业 、行车/行人带来的干扰等实际可能影响报价的因素。</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9、所有更换的内容增加约定“更换XX时若存在部分已缺失不需拆除，结算时不调整单价”</w:t>
            </w:r>
            <w:r/>
          </w:p>
        </w:tc>
      </w:tr>
    </w:tbl>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tbl>
      <w:tblPr>
        <w:tblStyle w:val="690"/>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667"/>
        <w:gridCol w:w="605"/>
        <w:gridCol w:w="943"/>
        <w:gridCol w:w="3014"/>
        <w:gridCol w:w="1188"/>
        <w:gridCol w:w="1213"/>
      </w:tblGrid>
      <w:tr>
        <w:trPr>
          <w:jc w:val="center"/>
          <w:trHeight w:val="567"/>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2025-2026、2026-2027年大丰城区主次干道、桥梁、排水等市政设施及标志标线、栏杆等道路交通设施养护项目采购包五（地下部分：东宁路（含）以西）</w:t>
            </w:r>
            <w:r/>
          </w:p>
        </w:tc>
      </w:tr>
      <w:tr>
        <w:trPr>
          <w:jc w:val="center"/>
          <w:trHeight w:val="567"/>
        </w:trPr>
        <w:tc>
          <w:tcPr>
            <w:shd w:val="clear" w:color="auto" w:fill="auto"/>
            <w:tcBorders>
              <w:top w:val="single" w:color="000000" w:sz="8"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01"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6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c>
          <w:tcPr>
            <w:shd w:val="clear" w:color="auto" w:fill="auto"/>
            <w:tcBorders>
              <w:top w:val="single" w:color="000000" w:sz="8"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全费用综合</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单价（元）</w:t>
            </w:r>
            <w:r/>
          </w:p>
        </w:tc>
        <w:tc>
          <w:tcPr>
            <w:shd w:val="clear" w:color="auto" w:fill="auto"/>
            <w:tcBorders>
              <w:top w:val="single" w:color="000000" w:sz="8" w:space="0"/>
              <w:left w:val="single" w:color="000000" w:sz="4" w:space="0"/>
              <w:bottom w:val="single" w:color="000000" w:sz="4" w:space="0"/>
              <w:right w:val="single" w:color="000000" w:sz="8" w:space="0"/>
            </w:tcBorders>
            <w:tcW w:w="655"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合 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（元）</w:t>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管道、井清淤</w:t>
            </w:r>
            <w:r/>
          </w:p>
        </w:tc>
        <w:tc>
          <w:tcPr>
            <w:shd w:val="clear" w:color="auto" w:fill="fce4d6"/>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清理雨水进水井（所有型号）</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2、综合考虑各种规格雨水进水井的清理；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清掏检查井</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2、适用井径≤1000mm的井；</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QV检测，提供检测报告及其他等满足招标文件质量要求</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管道CCTV检测，管网管径综合考虑；CCTV检测提供检测报告及其他满足招标文件质量要求</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2、疏通管径：＜300mm；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2、疏通管径：600mm≤管径＜1200mm；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ff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清理明沟</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1509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检查井升高</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2、井壁砌筑、抹灰、井盖重新安放（材料利旧）、面层恢复；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3、不区分井径大小及抬升的高度，结算时均按此单价结算。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检查井降低</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2、井壁拆除、抹灰找补、井盖重新安放（材料利旧）、面层恢复；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3、不区分井径大小及降低的高度，结算时均按此单价结算。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防坠网、截污篮等</w:t>
            </w:r>
            <w:r/>
          </w:p>
        </w:tc>
        <w:tc>
          <w:tcPr>
            <w:shd w:val="clear" w:color="auto" w:fill="fce4d6"/>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检查井防坠网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1、启闭井盖、安装膨胀钩 、安装防坠网；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2、材质：尼龙绳，承重≥ 300kg。</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2、尺寸：配套300*500mm雨水箅子；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2、尺寸：适用于300*500mm雨水箅子的规格，厚度1mm；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fce4d6"/>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c>
          <w:tcPr>
            <w:shd w:val="clear" w:color="auto" w:fill="fce4d6"/>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top"/>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jc w:val="center"/>
          <w:trHeight w:val="567"/>
        </w:trPr>
        <w:tc>
          <w:tcPr>
            <w:shd w:val="clear" w:color="auto" w:fill="fce4d6"/>
            <w:tcBorders>
              <w:top w:val="single" w:color="000000" w:sz="4" w:space="0"/>
              <w:left w:val="single" w:color="000000" w:sz="8" w:space="0"/>
              <w:bottom w:val="single" w:color="000000" w:sz="8"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3"/>
            <w:shd w:val="clear" w:color="auto" w:fill="fce4d6"/>
            <w:tcBorders>
              <w:top w:val="single" w:color="000000" w:sz="4" w:space="0"/>
              <w:left w:val="single" w:color="000000" w:sz="4" w:space="0"/>
              <w:bottom w:val="single" w:color="000000" w:sz="8" w:space="0"/>
              <w:right w:val="single" w:color="000000" w:sz="4" w:space="0"/>
            </w:tcBorders>
            <w:tcW w:w="1741"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工程费用合计</w:t>
            </w:r>
            <w:r/>
          </w:p>
        </w:tc>
        <w:tc>
          <w:tcPr>
            <w:shd w:val="clear" w:color="auto" w:fill="fce4d6"/>
            <w:tcBorders>
              <w:top w:val="single" w:color="000000" w:sz="4" w:space="0"/>
              <w:left w:val="single" w:color="000000" w:sz="4" w:space="0"/>
              <w:bottom w:val="single" w:color="000000" w:sz="8"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一+二+三</w:t>
            </w:r>
            <w:r/>
          </w:p>
        </w:tc>
        <w:tc>
          <w:tcPr>
            <w:shd w:val="clear" w:color="auto" w:fill="fce4d6"/>
            <w:tcBorders>
              <w:top w:val="single" w:color="000000" w:sz="4" w:space="0"/>
              <w:left w:val="single" w:color="000000" w:sz="4" w:space="0"/>
              <w:bottom w:val="single" w:color="000000" w:sz="8" w:space="0"/>
              <w:right w:val="single" w:color="000000" w:sz="4" w:space="0"/>
            </w:tcBorders>
            <w:tcW w:w="641" w:type="pct"/>
            <w:vAlign w:val="center"/>
            <w:textDirection w:val="lrTb"/>
            <w:noWrap w:val="false"/>
          </w:tcPr>
          <w:p>
            <w:pPr>
              <w:jc w:val="left"/>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fce4d6"/>
            <w:tcBorders>
              <w:top w:val="single" w:color="000000" w:sz="4" w:space="0"/>
              <w:left w:val="single" w:color="000000" w:sz="4" w:space="0"/>
              <w:bottom w:val="single" w:color="000000" w:sz="8"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jc w:val="center"/>
          <w:trHeight w:val="567"/>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注：1、清单中“建设方指定地点”为大丰住建局南侧仓库；</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2、巡查费用由投标人在总价中综合考虑，内容每旬1次的全面巡查，扶正隔离栏、井盖复位及掉漆生锈井盖的除锈补漆、沥青路面日常养护，需提供标段内所有道路交叉口的水印照片；</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3、工程采用全费用综合单价：包含人工、材料、机械、管理费、利润、其他相关的措施费、规费及税金等完成工作内容的全部费用。投标人需要综合考虑本项目的项目特征、不能连续作业、行车/行人带来的干扰等实际可能影响报价的因素。</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w:t>
            </w:r>
            <w:r>
              <w:rPr>
                <w:rFonts w:hint="eastAsia" w:ascii="仿宋" w:hAnsi="仿宋" w:eastAsia="仿宋" w:cs="仿宋"/>
                <w:b/>
                <w:bCs/>
                <w:i w:val="0"/>
                <w:iCs w:val="0"/>
                <w:color w:val="ff0000"/>
                <w:sz w:val="22"/>
                <w:szCs w:val="22"/>
                <w:u w:val="none"/>
                <w:lang w:val="en-US" w:eastAsia="zh-CN" w:bidi="ar"/>
              </w:rPr>
              <w:t xml:space="preserve"> </w:t>
            </w:r>
            <w:r/>
          </w:p>
        </w:tc>
      </w:tr>
    </w:tbl>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tbl>
      <w:tblPr>
        <w:tblStyle w:val="69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667"/>
        <w:gridCol w:w="605"/>
        <w:gridCol w:w="943"/>
        <w:gridCol w:w="3014"/>
        <w:gridCol w:w="1188"/>
        <w:gridCol w:w="1213"/>
      </w:tblGrid>
      <w:tr>
        <w:trPr>
          <w:trHeight w:val="567"/>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2025-2026、2026-2027年大丰城区主次干道、桥梁、排水等市政设施及标志标线、栏杆等道路交通设施养护项目采购包六（地下部分：东宁路（不含）以东）</w:t>
            </w:r>
            <w:r/>
          </w:p>
        </w:tc>
      </w:tr>
      <w:tr>
        <w:trPr>
          <w:trHeight w:val="567"/>
        </w:trPr>
        <w:tc>
          <w:tcPr>
            <w:shd w:val="clear" w:color="auto" w:fill="auto"/>
            <w:tcBorders>
              <w:top w:val="single" w:color="000000" w:sz="8"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01"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6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具 体 要 求</w:t>
            </w:r>
            <w:r/>
          </w:p>
        </w:tc>
        <w:tc>
          <w:tcPr>
            <w:shd w:val="clear" w:color="auto" w:fill="auto"/>
            <w:tcBorders>
              <w:top w:val="single" w:color="000000" w:sz="8"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全费用综合</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单价（元）</w:t>
            </w:r>
            <w:r/>
          </w:p>
        </w:tc>
        <w:tc>
          <w:tcPr>
            <w:shd w:val="clear" w:color="auto" w:fill="auto"/>
            <w:tcBorders>
              <w:top w:val="single" w:color="000000" w:sz="8" w:space="0"/>
              <w:left w:val="single" w:color="000000" w:sz="4" w:space="0"/>
              <w:bottom w:val="single" w:color="000000" w:sz="4" w:space="0"/>
              <w:right w:val="single" w:color="000000" w:sz="8" w:space="0"/>
            </w:tcBorders>
            <w:tcW w:w="655"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合 价</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（元）</w:t>
            </w:r>
            <w:r/>
          </w:p>
        </w:tc>
      </w:tr>
      <w:tr>
        <w:trPr>
          <w:trHeight w:val="567"/>
        </w:trPr>
        <w:tc>
          <w:tcPr>
            <w:shd w:val="clear" w:color="auto" w:fill="fce4d6"/>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管道、井清淤</w:t>
            </w:r>
            <w:r/>
          </w:p>
        </w:tc>
        <w:tc>
          <w:tcPr>
            <w:shd w:val="clear" w:color="auto" w:fill="fce4d6"/>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清理雨水进水井（所有型号）</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2、综合考虑各种规格雨水进水井的清理；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清掏检查井</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2、适用井径≤1000mm的井；</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4、具体清掏位置根据建设方交办单实施；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QV检测，提供检测报告及其他等满足招标文件质量要求</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管道检测</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管道CCTV检测，管网管径综合考虑；CCTV检测提供检测报告及其他满足招标文件质量要求</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2、疏通管径：＜300mm；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清理疏通雨水管道</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1、启闭井盖、清理/清掏；</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2、疏通管径：600mm≤管径＜1200mm；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3、包含垃圾、淤泥清运的费用；</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4、具体疏通位置根据建设方交办单实施；</w:t>
            </w:r>
            <w:r>
              <w:rPr>
                <w:rFonts w:hint="eastAsia" w:ascii="仿宋" w:hAnsi="仿宋" w:eastAsia="仿宋" w:cs="仿宋"/>
                <w:i w:val="0"/>
                <w:iCs w:val="0"/>
                <w:color w:val="ff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清理明沟</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1201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1、含垃圾清运；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2、具体疏通位置根据建设方交办单实施；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3、无论现场实际施工情况如何，结算时此项单价不予调整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检查井升高</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2、井壁砌筑、抹灰、井盖重新安放（材料利旧）、面层恢复；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3、不区分井径大小及抬升的高度，结算时均按此单价结算。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检查井降低</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1、井周边路面切缝、移除井盖座、拆除路面路基、垃圾外运；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2、井壁拆除、抹灰找补、井盖重新安放（材料利旧）、面层恢复；</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3、不区分井径大小及降低的高度，结算时均按此单价结算。</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4、按原路面结构层标准恢复</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气囊封堵</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1、本项需根据建设方交办单实施；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2、适用于管径≥600mm。</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fce4d6"/>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二、</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防坠网、截污篮等</w:t>
            </w:r>
            <w:r/>
          </w:p>
        </w:tc>
        <w:tc>
          <w:tcPr>
            <w:shd w:val="clear" w:color="auto" w:fill="fce4d6"/>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检查井防坠网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1、启闭井盖、安装膨胀钩 、安装防坠网；</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2、材质：尼龙绳，承重≥ 300kg。</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2、尺寸：配套300*500mm雨水箅子；</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1、材质：复合材料；</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2、尺寸：适用于300*500mm雨水箅子的规格，厚度1mm；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2、尺寸：适用于350*500mm雨水箅子的规格，厚度1mm；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雨水收集井不锈钢截污网</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2、尺寸：适用于400*600mm雨水箅子的规格，厚度1mm；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雨水收集井截污篮</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1、材质：304不锈钢；</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2、尺寸：适用于450*750mm雨水箅子的规格，厚度1mm；</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3、具体位置根据建设方交办单实施；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4、实施前，施工方需提供样品，经建设方确认后，方可实施。</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fce4d6"/>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三、</w:t>
            </w:r>
            <w:r/>
          </w:p>
        </w:tc>
        <w:tc>
          <w:tcPr>
            <w:gridSpan w:val="5"/>
            <w:shd w:val="clear" w:color="auto" w:fill="fce4d6"/>
            <w:tcBorders>
              <w:top w:val="single" w:color="000000" w:sz="4" w:space="0"/>
              <w:left w:val="single" w:color="000000" w:sz="4" w:space="0"/>
              <w:bottom w:val="single" w:color="000000" w:sz="4" w:space="0"/>
              <w:right w:val="single" w:color="000000" w:sz="4" w:space="0"/>
            </w:tcBorders>
            <w:tcW w:w="401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其他零星人工、机械费用</w:t>
            </w:r>
            <w:r/>
          </w:p>
        </w:tc>
        <w:tc>
          <w:tcPr>
            <w:shd w:val="clear" w:color="auto" w:fill="fce4d6"/>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567"/>
        </w:trPr>
        <w:tc>
          <w:tcPr>
            <w:shd w:val="clear" w:color="auto" w:fill="auto"/>
            <w:tcBorders>
              <w:top w:val="single" w:color="000000" w:sz="4" w:space="0"/>
              <w:left w:val="single" w:color="000000" w:sz="8" w:space="0"/>
              <w:bottom w:val="single" w:color="000000" w:sz="4"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计日工</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626" w:type="pct"/>
            <w:vAlign w:val="top"/>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1、结算时需提供经建设方认定具体用工事由、用工人数清单。</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55"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67"/>
        </w:trPr>
        <w:tc>
          <w:tcPr>
            <w:shd w:val="clear" w:color="auto" w:fill="fce4d6"/>
            <w:tcBorders>
              <w:top w:val="single" w:color="000000" w:sz="4" w:space="0"/>
              <w:left w:val="single" w:color="000000" w:sz="8" w:space="0"/>
              <w:bottom w:val="single" w:color="000000" w:sz="8" w:space="0"/>
              <w:right w:val="single" w:color="000000" w:sz="4" w:space="0"/>
            </w:tcBorders>
            <w:tcW w:w="33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四、</w:t>
            </w:r>
            <w:r/>
          </w:p>
        </w:tc>
        <w:tc>
          <w:tcPr>
            <w:gridSpan w:val="3"/>
            <w:shd w:val="clear" w:color="auto" w:fill="fce4d6"/>
            <w:tcBorders>
              <w:top w:val="single" w:color="000000" w:sz="4" w:space="0"/>
              <w:left w:val="single" w:color="000000" w:sz="4" w:space="0"/>
              <w:bottom w:val="single" w:color="000000" w:sz="8" w:space="0"/>
              <w:right w:val="single" w:color="000000" w:sz="4" w:space="0"/>
            </w:tcBorders>
            <w:tcW w:w="1741"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工程费用合计</w:t>
            </w:r>
            <w:r/>
          </w:p>
        </w:tc>
        <w:tc>
          <w:tcPr>
            <w:shd w:val="clear" w:color="auto" w:fill="fce4d6"/>
            <w:tcBorders>
              <w:top w:val="single" w:color="000000" w:sz="4" w:space="0"/>
              <w:left w:val="single" w:color="000000" w:sz="4" w:space="0"/>
              <w:bottom w:val="single" w:color="000000" w:sz="8" w:space="0"/>
              <w:right w:val="single" w:color="000000" w:sz="4" w:space="0"/>
            </w:tcBorders>
            <w:tcW w:w="1626"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一+二+三</w:t>
            </w:r>
            <w:r/>
          </w:p>
        </w:tc>
        <w:tc>
          <w:tcPr>
            <w:shd w:val="clear" w:color="auto" w:fill="fce4d6"/>
            <w:tcBorders>
              <w:top w:val="single" w:color="000000" w:sz="4" w:space="0"/>
              <w:left w:val="single" w:color="000000" w:sz="4" w:space="0"/>
              <w:bottom w:val="single" w:color="000000" w:sz="8" w:space="0"/>
              <w:right w:val="single" w:color="000000" w:sz="4" w:space="0"/>
            </w:tcBorders>
            <w:tcW w:w="641" w:type="pct"/>
            <w:vAlign w:val="center"/>
            <w:textDirection w:val="lrTb"/>
            <w:noWrap w:val="false"/>
          </w:tcPr>
          <w:p>
            <w:pPr>
              <w:jc w:val="left"/>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fce4d6"/>
            <w:tcBorders>
              <w:top w:val="single" w:color="000000" w:sz="4" w:space="0"/>
              <w:left w:val="single" w:color="000000" w:sz="4" w:space="0"/>
              <w:bottom w:val="single" w:color="000000" w:sz="8" w:space="0"/>
              <w:right w:val="single" w:color="000000" w:sz="8" w:space="0"/>
            </w:tcBorders>
            <w:tcW w:w="655"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r>
      <w:tr>
        <w:trPr>
          <w:trHeight w:val="567"/>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注：1、清单中“建设方指定地点”为大丰住建局南侧仓库；</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2、巡查费用由投标人在总价中综合考虑，内容每旬1次的全面巡查，扶正隔离栏、井盖复位及掉漆生锈井盖的除锈补漆、沥青路面日常养护，需提供标段内所有道路交叉口的水印照片；</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3、工程采用全费用综合单价：包含人工、材料、机械、管理费、利润、其他相关的措施费、规费及税金等完成工作内容的全部费用。投标人需要综合考虑本项目的项目特征、不能连续作业、行车/行人带来的干扰等实际可能影响报价的因素。</w:t>
            </w:r>
            <w:r>
              <w:rPr>
                <w:rFonts w:hint="eastAsia" w:ascii="仿宋" w:hAnsi="仿宋" w:eastAsia="仿宋" w:cs="仿宋"/>
                <w:b/>
                <w:bCs/>
                <w:i w:val="0"/>
                <w:iCs w:val="0"/>
                <w:color w:val="000000"/>
                <w:sz w:val="22"/>
                <w:szCs w:val="22"/>
                <w:u w:val="none"/>
                <w:lang w:val="en-US" w:eastAsia="zh-CN" w:bidi="ar"/>
              </w:rPr>
              <w:br/>
            </w:r>
            <w:r>
              <w:rPr>
                <w:rFonts w:hint="eastAsia" w:ascii="仿宋" w:hAnsi="仿宋" w:eastAsia="仿宋" w:cs="仿宋"/>
                <w:b/>
                <w:bCs/>
                <w:i w:val="0"/>
                <w:iCs w:val="0"/>
                <w:color w:val="000000"/>
                <w:sz w:val="22"/>
                <w:szCs w:val="22"/>
                <w:u w:val="none"/>
                <w:lang w:val="en-US" w:eastAsia="zh-CN" w:bidi="ar"/>
              </w:rPr>
              <w:t xml:space="preserve"> </w:t>
            </w:r>
            <w:r>
              <w:rPr>
                <w:rFonts w:hint="eastAsia" w:ascii="仿宋" w:hAnsi="仿宋" w:eastAsia="仿宋" w:cs="仿宋"/>
                <w:b/>
                <w:bCs/>
                <w:i w:val="0"/>
                <w:iCs w:val="0"/>
                <w:color w:val="ff0000"/>
                <w:sz w:val="22"/>
                <w:szCs w:val="22"/>
                <w:u w:val="none"/>
                <w:lang w:val="en-US" w:eastAsia="zh-CN" w:bidi="ar"/>
              </w:rPr>
              <w:t xml:space="preserve"> </w:t>
            </w:r>
            <w:r/>
          </w:p>
        </w:tc>
      </w:tr>
    </w:tbl>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tbl>
      <w:tblPr>
        <w:tblStyle w:val="690"/>
        <w:tblW w:w="102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2"/>
        <w:gridCol w:w="1194"/>
        <w:gridCol w:w="2215"/>
        <w:gridCol w:w="811"/>
        <w:gridCol w:w="556"/>
        <w:gridCol w:w="2877"/>
        <w:gridCol w:w="795"/>
        <w:gridCol w:w="1335"/>
      </w:tblGrid>
      <w:tr>
        <w:trPr>
          <w:jc w:val="center"/>
          <w:trHeight w:val="1340"/>
        </w:trPr>
        <w:tc>
          <w:tcPr>
            <w:gridSpan w:val="8"/>
            <w:shd w:val="clear" w:color="auto" w:fill="auto"/>
            <w:tcBorders>
              <w:top w:val="none" w:color="000000" w:sz="4" w:space="0"/>
              <w:left w:val="none" w:color="000000" w:sz="4" w:space="0"/>
              <w:bottom w:val="none" w:color="000000" w:sz="4" w:space="0"/>
              <w:right w:val="single" w:color="000000" w:sz="4" w:space="0"/>
            </w:tcBorders>
            <w:tcW w:w="10217" w:type="dxa"/>
            <w:vAlign w:val="center"/>
            <w:textDirection w:val="lrTb"/>
            <w:noWrap w:val="false"/>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2025-2026、2026-2027年大丰城区主次干道、桥梁、排水等市政设施及标志标线、栏杆等道路交通设施养护项目采购包七（东宁路（不含）以西：广告、标牌、标线、交通信号灯）</w:t>
            </w:r>
            <w:r/>
          </w:p>
        </w:tc>
      </w:tr>
      <w:tr>
        <w:trPr>
          <w:jc w:val="center"/>
          <w:trHeight w:val="480"/>
        </w:trPr>
        <w:tc>
          <w:tcPr>
            <w:shd w:val="clear" w:color="auto" w:fill="ffffff"/>
            <w:tcBorders>
              <w:top w:val="single" w:color="000000" w:sz="8"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图片（部分样式，具体以道路实际为准）</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297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规格/型号</w:t>
            </w:r>
            <w:r/>
          </w:p>
        </w:tc>
        <w:tc>
          <w:tcPr>
            <w:shd w:val="clear" w:color="auto" w:fill="ffffff"/>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单价</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8" w:space="0"/>
            </w:tcBorders>
            <w:tcW w:w="13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合 计</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（元）</w:t>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8837" w:type="dxa"/>
            <w:vAlign w:val="center"/>
            <w:textDirection w:val="lrTb"/>
            <w:noWrap w:val="false"/>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一、单柱式交通标志牌</w:t>
            </w:r>
            <w:r/>
          </w:p>
        </w:tc>
        <w:tc>
          <w:tcPr>
            <w:shd w:val="clear" w:color="auto" w:fill="fce4d6"/>
            <w:tcBorders>
              <w:top w:val="single" w:color="000000" w:sz="4" w:space="0"/>
              <w:left w:val="single" w:color="000000" w:sz="4" w:space="0"/>
              <w:bottom w:val="single" w:color="000000" w:sz="4" w:space="0"/>
              <w:right w:val="single" w:color="000000" w:sz="8" w:space="0"/>
            </w:tcBorders>
            <w:tcW w:w="1380" w:type="dxa"/>
            <w:vAlign w:val="center"/>
            <w:textDirection w:val="lrTb"/>
            <w:noWrap w:val="false"/>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三角形标志牌牌面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wp:posOffset>
                      </wp:positionH>
                      <wp:positionV relativeFrom="paragraph">
                        <wp:posOffset>534035</wp:posOffset>
                      </wp:positionV>
                      <wp:extent cx="662940" cy="530860"/>
                      <wp:effectExtent l="0" t="0" r="3810" b="2540"/>
                      <wp:wrapNone/>
                      <wp:docPr id="49" name="图片_1"/>
                      <wp:cNvGraphicFramePr/>
                      <a:graphic xmlns:a="http://schemas.openxmlformats.org/drawingml/2006/main">
                        <a:graphicData uri="http://schemas.openxmlformats.org/drawingml/2006/picture">
                          <pic:pic xmlns:pic="http://schemas.openxmlformats.org/drawingml/2006/picture">
                            <pic:nvPicPr>
                              <pic:cNvPr id="117" name="图片_1"/>
                              <pic:cNvPicPr/>
                              <pic:nvPr/>
                            </pic:nvPicPr>
                            <pic:blipFill>
                              <a:blip r:embed="rId14"/>
                              <a:stretch/>
                            </pic:blipFill>
                            <pic:spPr bwMode="auto">
                              <a:xfrm>
                                <a:off x="0" y="0"/>
                                <a:ext cx="662940"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2.8pt;mso-position-horizontal:absolute;mso-position-vertical-relative:text;margin-top:42.0pt;mso-position-vertical:absolute;width:52.2pt;height:41.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1574800</wp:posOffset>
                      </wp:positionV>
                      <wp:extent cx="588010" cy="492760"/>
                      <wp:effectExtent l="0" t="0" r="2540" b="2540"/>
                      <wp:wrapNone/>
                      <wp:docPr id="50" name="图片_2"/>
                      <wp:cNvGraphicFramePr/>
                      <a:graphic xmlns:a="http://schemas.openxmlformats.org/drawingml/2006/main">
                        <a:graphicData uri="http://schemas.openxmlformats.org/drawingml/2006/picture">
                          <pic:pic xmlns:pic="http://schemas.openxmlformats.org/drawingml/2006/picture">
                            <pic:nvPicPr>
                              <pic:cNvPr id="114" name="图片_2"/>
                              <pic:cNvPicPr/>
                              <pic:nvPr/>
                            </pic:nvPicPr>
                            <pic:blipFill>
                              <a:blip r:embed="rId15"/>
                              <a:stretch/>
                            </pic:blipFill>
                            <pic:spPr bwMode="auto">
                              <a:xfrm>
                                <a:off x="0" y="0"/>
                                <a:ext cx="58801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6.5pt;mso-position-horizontal:absolute;mso-position-vertical-relative:text;margin-top:124.0pt;mso-position-vertical:absolute;width:46.3pt;height:38.8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614045</wp:posOffset>
                      </wp:positionH>
                      <wp:positionV relativeFrom="paragraph">
                        <wp:posOffset>527050</wp:posOffset>
                      </wp:positionV>
                      <wp:extent cx="687070" cy="510540"/>
                      <wp:effectExtent l="0" t="0" r="17780" b="3810"/>
                      <wp:wrapNone/>
                      <wp:docPr id="51" name="图片_3"/>
                      <wp:cNvGraphicFramePr/>
                      <a:graphic xmlns:a="http://schemas.openxmlformats.org/drawingml/2006/main">
                        <a:graphicData uri="http://schemas.openxmlformats.org/drawingml/2006/picture">
                          <pic:pic xmlns:pic="http://schemas.openxmlformats.org/drawingml/2006/picture">
                            <pic:nvPicPr>
                              <pic:cNvPr id="116" name="图片_3"/>
                              <pic:cNvPicPr/>
                              <pic:nvPr/>
                            </pic:nvPicPr>
                            <pic:blipFill>
                              <a:blip r:embed="rId16"/>
                              <a:stretch/>
                            </pic:blipFill>
                            <pic:spPr bwMode="auto">
                              <a:xfrm>
                                <a:off x="0" y="0"/>
                                <a:ext cx="687069"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48.3pt;mso-position-horizontal:absolute;mso-position-vertical-relative:text;margin-top:41.5pt;mso-position-vertical:absolute;width:54.1pt;height:40.2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671830</wp:posOffset>
                      </wp:positionH>
                      <wp:positionV relativeFrom="paragraph">
                        <wp:posOffset>1582420</wp:posOffset>
                      </wp:positionV>
                      <wp:extent cx="658495" cy="569595"/>
                      <wp:effectExtent l="0" t="0" r="8255" b="1905"/>
                      <wp:wrapNone/>
                      <wp:docPr id="52" name="图片_4"/>
                      <wp:cNvGraphicFramePr/>
                      <a:graphic xmlns:a="http://schemas.openxmlformats.org/drawingml/2006/main">
                        <a:graphicData uri="http://schemas.openxmlformats.org/drawingml/2006/picture">
                          <pic:pic xmlns:pic="http://schemas.openxmlformats.org/drawingml/2006/picture">
                            <pic:nvPicPr>
                              <pic:cNvPr id="118" name="图片_4"/>
                              <pic:cNvPicPr/>
                              <pic:nvPr/>
                            </pic:nvPicPr>
                            <pic:blipFill>
                              <a:blip r:embed="rId17"/>
                              <a:stretch/>
                            </pic:blipFill>
                            <pic:spPr bwMode="auto">
                              <a:xfrm>
                                <a:off x="0" y="0"/>
                                <a:ext cx="65849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52.9pt;mso-position-horizontal:absolute;mso-position-vertical-relative:text;margin-top:124.6pt;mso-position-vertical:absolute;width:51.8pt;height:44.8pt;mso-wrap-distance-left:9.0pt;mso-wrap-distance-top:0.0pt;mso-wrap-distance-right:9.0pt;mso-wrap-distance-bottom:0.0pt;" stroked="f">
                      <v:path textboxrect="0,0,0,0"/>
                      <v:imagedata r:id="rId1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1、△L=700mm；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1、△L=900mm；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1、△L=1100mm；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1、△L=1300mm；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圆形（包含八角形）标志牌牌面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22860</wp:posOffset>
                      </wp:positionH>
                      <wp:positionV relativeFrom="paragraph">
                        <wp:posOffset>1828800</wp:posOffset>
                      </wp:positionV>
                      <wp:extent cx="727075" cy="565785"/>
                      <wp:effectExtent l="0" t="0" r="15875" b="5715"/>
                      <wp:wrapNone/>
                      <wp:docPr id="53" name="图片_9"/>
                      <wp:cNvGraphicFramePr/>
                      <a:graphic xmlns:a="http://schemas.openxmlformats.org/drawingml/2006/main">
                        <a:graphicData uri="http://schemas.openxmlformats.org/drawingml/2006/picture">
                          <pic:pic xmlns:pic="http://schemas.openxmlformats.org/drawingml/2006/picture">
                            <pic:nvPicPr>
                              <pic:cNvPr id="119" name="图片_9"/>
                              <pic:cNvPicPr/>
                              <pic:nvPr/>
                            </pic:nvPicPr>
                            <pic:blipFill>
                              <a:blip r:embed="rId47"/>
                              <a:stretch/>
                            </pic:blipFill>
                            <pic:spPr bwMode="auto">
                              <a:xfrm>
                                <a:off x="0" y="0"/>
                                <a:ext cx="727075"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1.8pt;mso-position-horizontal:absolute;mso-position-vertical-relative:text;margin-top:144.0pt;mso-position-vertical:absolute;width:57.2pt;height:44.5pt;mso-wrap-distance-left:9.0pt;mso-wrap-distance-top:0.0pt;mso-wrap-distance-right:9.0pt;mso-wrap-distance-bottom:0.0pt;" stroked="f">
                      <v:path textboxrect="0,0,0,0"/>
                      <v:imagedata r:id="rId47"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770890</wp:posOffset>
                      </wp:positionV>
                      <wp:extent cx="681355" cy="561340"/>
                      <wp:effectExtent l="0" t="0" r="4445" b="10160"/>
                      <wp:wrapNone/>
                      <wp:docPr id="54" name="图片_7"/>
                      <wp:cNvGraphicFramePr/>
                      <a:graphic xmlns:a="http://schemas.openxmlformats.org/drawingml/2006/main">
                        <a:graphicData uri="http://schemas.openxmlformats.org/drawingml/2006/picture">
                          <pic:pic xmlns:pic="http://schemas.openxmlformats.org/drawingml/2006/picture">
                            <pic:nvPicPr>
                              <pic:cNvPr id="115" name="图片_7"/>
                              <pic:cNvPicPr/>
                              <pic:nvPr/>
                            </pic:nvPicPr>
                            <pic:blipFill>
                              <a:blip r:embed="rId48"/>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2.4pt;mso-position-horizontal:absolute;mso-position-vertical-relative:text;margin-top:60.7pt;mso-position-vertical:absolute;width:53.6pt;height:44.2pt;mso-wrap-distance-left:9.0pt;mso-wrap-distance-top:0.0pt;mso-wrap-distance-right:9.0pt;mso-wrap-distance-bottom:0.0pt;" stroked="f">
                      <v:path textboxrect="0,0,0,0"/>
                      <v:imagedata r:id="rId48"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723265</wp:posOffset>
                      </wp:positionH>
                      <wp:positionV relativeFrom="paragraph">
                        <wp:posOffset>1828800</wp:posOffset>
                      </wp:positionV>
                      <wp:extent cx="602615" cy="557530"/>
                      <wp:effectExtent l="0" t="0" r="6985" b="13970"/>
                      <wp:wrapNone/>
                      <wp:docPr id="55" name="图片_10"/>
                      <wp:cNvGraphicFramePr/>
                      <a:graphic xmlns:a="http://schemas.openxmlformats.org/drawingml/2006/main">
                        <a:graphicData uri="http://schemas.openxmlformats.org/drawingml/2006/picture">
                          <pic:pic xmlns:pic="http://schemas.openxmlformats.org/drawingml/2006/picture">
                            <pic:nvPicPr>
                              <pic:cNvPr id="121" name="图片_10"/>
                              <pic:cNvPicPr/>
                              <pic:nvPr/>
                            </pic:nvPicPr>
                            <pic:blipFill>
                              <a:blip r:embed="rId49"/>
                              <a:stretch/>
                            </pic:blipFill>
                            <pic:spPr bwMode="auto">
                              <a:xfrm>
                                <a:off x="0" y="0"/>
                                <a:ext cx="602615" cy="557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56.9pt;mso-position-horizontal:absolute;mso-position-vertical-relative:text;margin-top:144.0pt;mso-position-vertical:absolute;width:47.4pt;height:43.9pt;mso-wrap-distance-left:9.0pt;mso-wrap-distance-top:0.0pt;mso-wrap-distance-right:9.0pt;mso-wrap-distance-bottom:0.0pt;" stroked="f">
                      <v:path textboxrect="0,0,0,0"/>
                      <v:imagedata r:id="rId49"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734695</wp:posOffset>
                      </wp:positionH>
                      <wp:positionV relativeFrom="paragraph">
                        <wp:posOffset>770890</wp:posOffset>
                      </wp:positionV>
                      <wp:extent cx="638810" cy="587375"/>
                      <wp:effectExtent l="0" t="0" r="8890" b="3175"/>
                      <wp:wrapNone/>
                      <wp:docPr id="56" name="图片_8"/>
                      <wp:cNvGraphicFramePr/>
                      <a:graphic xmlns:a="http://schemas.openxmlformats.org/drawingml/2006/main">
                        <a:graphicData uri="http://schemas.openxmlformats.org/drawingml/2006/picture">
                          <pic:pic xmlns:pic="http://schemas.openxmlformats.org/drawingml/2006/picture">
                            <pic:nvPicPr>
                              <pic:cNvPr id="120" name="图片_8"/>
                              <pic:cNvPicPr/>
                              <pic:nvPr/>
                            </pic:nvPicPr>
                            <pic:blipFill>
                              <a:blip r:embed="rId50"/>
                              <a:stretch/>
                            </pic:blipFill>
                            <pic:spPr bwMode="auto">
                              <a:xfrm>
                                <a:off x="0" y="0"/>
                                <a:ext cx="63881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57.8pt;mso-position-horizontal:absolute;mso-position-vertical-relative:text;margin-top:60.7pt;mso-position-vertical:absolute;width:50.3pt;height:46.2pt;mso-wrap-distance-left:9.0pt;mso-wrap-distance-top:0.0pt;mso-wrap-distance-right:9.0pt;mso-wrap-distance-bottom:0.0pt;" stroked="f">
                      <v:path textboxrect="0,0,0,0"/>
                      <v:imagedata r:id="rId5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1、直径：Ф600mm；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1、直径：Ф800mm；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1、直径：Ф1000mm；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1、直径：Ф1200mm；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2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正方形及不规则标志牌牌面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119380</wp:posOffset>
                      </wp:positionV>
                      <wp:extent cx="723265" cy="1332865"/>
                      <wp:effectExtent l="0" t="0" r="635" b="635"/>
                      <wp:wrapNone/>
                      <wp:docPr id="57" name="图片_11"/>
                      <wp:cNvGraphicFramePr/>
                      <a:graphic xmlns:a="http://schemas.openxmlformats.org/drawingml/2006/main">
                        <a:graphicData uri="http://schemas.openxmlformats.org/drawingml/2006/picture">
                          <pic:pic xmlns:pic="http://schemas.openxmlformats.org/drawingml/2006/picture">
                            <pic:nvPicPr>
                              <pic:cNvPr id="122" name="图片_11"/>
                              <pic:cNvPicPr/>
                              <pic:nvPr/>
                            </pic:nvPicPr>
                            <pic:blipFill>
                              <a:blip r:embed="rId22"/>
                              <a:stretch/>
                            </pic:blipFill>
                            <pic:spPr bwMode="auto">
                              <a:xfrm>
                                <a:off x="0" y="0"/>
                                <a:ext cx="72326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5.5pt;mso-position-horizontal:absolute;mso-position-vertical-relative:text;margin-top:9.4pt;mso-position-vertical:absolute;width:56.9pt;height:104.9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855980</wp:posOffset>
                      </wp:positionH>
                      <wp:positionV relativeFrom="paragraph">
                        <wp:posOffset>804545</wp:posOffset>
                      </wp:positionV>
                      <wp:extent cx="527050" cy="565150"/>
                      <wp:effectExtent l="0" t="0" r="6350" b="6350"/>
                      <wp:wrapNone/>
                      <wp:docPr id="58" name="图片_12"/>
                      <wp:cNvGraphicFramePr/>
                      <a:graphic xmlns:a="http://schemas.openxmlformats.org/drawingml/2006/main">
                        <a:graphicData uri="http://schemas.openxmlformats.org/drawingml/2006/picture">
                          <pic:pic xmlns:pic="http://schemas.openxmlformats.org/drawingml/2006/picture">
                            <pic:nvPicPr>
                              <pic:cNvPr id="100" name="图片_12"/>
                              <pic:cNvPicPr/>
                              <pic:nvPr/>
                            </pic:nvPicPr>
                            <pic:blipFill>
                              <a:blip r:embed="rId23"/>
                              <a:stretch/>
                            </pic:blipFill>
                            <pic:spPr bwMode="auto">
                              <a:xfrm>
                                <a:off x="0" y="0"/>
                                <a:ext cx="52705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67.4pt;mso-position-horizontal:absolute;mso-position-vertical-relative:text;margin-top:63.3pt;mso-position-vertical:absolute;width:41.5pt;height:44.5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857250</wp:posOffset>
                      </wp:positionH>
                      <wp:positionV relativeFrom="paragraph">
                        <wp:posOffset>83185</wp:posOffset>
                      </wp:positionV>
                      <wp:extent cx="569595" cy="618490"/>
                      <wp:effectExtent l="0" t="0" r="1905" b="10160"/>
                      <wp:wrapNone/>
                      <wp:docPr id="59" name="图片_15"/>
                      <wp:cNvGraphicFramePr/>
                      <a:graphic xmlns:a="http://schemas.openxmlformats.org/drawingml/2006/main">
                        <a:graphicData uri="http://schemas.openxmlformats.org/drawingml/2006/picture">
                          <pic:pic xmlns:pic="http://schemas.openxmlformats.org/drawingml/2006/picture">
                            <pic:nvPicPr>
                              <pic:cNvPr id="101" name="图片_15"/>
                              <pic:cNvPicPr/>
                              <pic:nvPr/>
                            </pic:nvPicPr>
                            <pic:blipFill>
                              <a:blip r:embed="rId24"/>
                              <a:stretch/>
                            </pic:blipFill>
                            <pic:spPr bwMode="auto">
                              <a:xfrm>
                                <a:off x="0" y="0"/>
                                <a:ext cx="569595"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67.5pt;mso-position-horizontal:absolute;mso-position-vertical-relative:text;margin-top:6.5pt;mso-position-vertical:absolute;width:44.8pt;height:48.7pt;mso-wrap-distance-left:9.0pt;mso-wrap-distance-top:0.0pt;mso-wrap-distance-right:9.0pt;mso-wrap-distance-bottom:0.0pt;" stroked="f">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单柱式立杆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150495</wp:posOffset>
                      </wp:positionH>
                      <wp:positionV relativeFrom="paragraph">
                        <wp:posOffset>1612265</wp:posOffset>
                      </wp:positionV>
                      <wp:extent cx="1162685" cy="1484630"/>
                      <wp:effectExtent l="0" t="0" r="18415" b="1270"/>
                      <wp:wrapNone/>
                      <wp:docPr id="60" name="图片_16"/>
                      <wp:cNvGraphicFramePr/>
                      <a:graphic xmlns:a="http://schemas.openxmlformats.org/drawingml/2006/main">
                        <a:graphicData uri="http://schemas.openxmlformats.org/drawingml/2006/picture">
                          <pic:pic xmlns:pic="http://schemas.openxmlformats.org/drawingml/2006/picture">
                            <pic:nvPicPr>
                              <pic:cNvPr id="102" name="图片_16"/>
                              <pic:cNvPicPr/>
                              <pic:nvPr/>
                            </pic:nvPicPr>
                            <pic:blipFill>
                              <a:blip r:embed="rId25"/>
                              <a:stretch/>
                            </pic:blipFill>
                            <pic:spPr bwMode="auto">
                              <a:xfrm>
                                <a:off x="0" y="0"/>
                                <a:ext cx="1162685" cy="148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11.8pt;mso-position-horizontal:absolute;mso-position-vertical-relative:text;margin-top:126.9pt;mso-position-vertical:absolute;width:91.5pt;height:116.9pt;mso-wrap-distance-left:9.0pt;mso-wrap-distance-top:0.0pt;mso-wrap-distance-right:9.0pt;mso-wrap-distance-bottom:0.0pt;" stroked="f">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1、规格：Ф89*4.5mm；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1、规格：Ф76*4.5mm；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1、规格：Ф114*4.5mm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1、规格：Ф102*4.5mm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1、规格：Ф108*4.5mm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1、规格：Ф140*4.5mm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7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拆除单柱式交通标志牌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1、整套拆除损坏需更换的单柱式交通标志牌；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2、拆除混凝土基础，垃圾外运，垃圾处理需满足环保部门的相关要求。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3、牌面、立杆等金属类物件经建设方确认工程量后运至建设方指定地点。</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二、单悬臂式交通标志牌（F型立杆）</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33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单悬臂式交通标志牌牌面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102235</wp:posOffset>
                      </wp:positionH>
                      <wp:positionV relativeFrom="paragraph">
                        <wp:posOffset>1116330</wp:posOffset>
                      </wp:positionV>
                      <wp:extent cx="1296670" cy="929640"/>
                      <wp:effectExtent l="0" t="0" r="17780" b="3810"/>
                      <wp:wrapNone/>
                      <wp:docPr id="61" name="图片_18"/>
                      <wp:cNvGraphicFramePr/>
                      <a:graphic xmlns:a="http://schemas.openxmlformats.org/drawingml/2006/main">
                        <a:graphicData uri="http://schemas.openxmlformats.org/drawingml/2006/picture">
                          <pic:pic xmlns:pic="http://schemas.openxmlformats.org/drawingml/2006/picture">
                            <pic:nvPicPr>
                              <pic:cNvPr id="103" name="图片_18"/>
                              <pic:cNvPicPr/>
                              <pic:nvPr/>
                            </pic:nvPicPr>
                            <pic:blipFill>
                              <a:blip r:embed="rId26"/>
                              <a:stretch/>
                            </pic:blipFill>
                            <pic:spPr bwMode="auto">
                              <a:xfrm>
                                <a:off x="0" y="0"/>
                                <a:ext cx="1296670"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8.0pt;mso-position-horizontal:absolute;mso-position-vertical-relative:text;margin-top:87.9pt;mso-position-vertical:absolute;width:102.1pt;height:73.2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119380</wp:posOffset>
                      </wp:positionH>
                      <wp:positionV relativeFrom="paragraph">
                        <wp:posOffset>76835</wp:posOffset>
                      </wp:positionV>
                      <wp:extent cx="1110615" cy="1019175"/>
                      <wp:effectExtent l="0" t="0" r="13335" b="9525"/>
                      <wp:wrapNone/>
                      <wp:docPr id="62" name="图片_17"/>
                      <wp:cNvGraphicFramePr/>
                      <a:graphic xmlns:a="http://schemas.openxmlformats.org/drawingml/2006/main">
                        <a:graphicData uri="http://schemas.openxmlformats.org/drawingml/2006/picture">
                          <pic:pic xmlns:pic="http://schemas.openxmlformats.org/drawingml/2006/picture">
                            <pic:nvPicPr>
                              <pic:cNvPr id="104" name="图片_17"/>
                              <pic:cNvPicPr/>
                              <pic:nvPr/>
                            </pic:nvPicPr>
                            <pic:blipFill>
                              <a:blip r:embed="rId27"/>
                              <a:stretch/>
                            </pic:blipFill>
                            <pic:spPr bwMode="auto">
                              <a:xfrm>
                                <a:off x="0" y="0"/>
                                <a:ext cx="111061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9.4pt;mso-position-horizontal:absolute;mso-position-vertical-relative:text;margin-top:6.0pt;mso-position-vertical:absolute;width:87.5pt;height:80.2pt;mso-wrap-distance-left:9.0pt;mso-wrap-distance-top:0.0pt;mso-wrap-distance-right:9.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3、板面覆Ⅲ类反光膜及所需的文字、标志图，反光膜需符合《GB/T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171450</wp:posOffset>
                      </wp:positionH>
                      <wp:positionV relativeFrom="paragraph">
                        <wp:posOffset>746760</wp:posOffset>
                      </wp:positionV>
                      <wp:extent cx="1184910" cy="2806700"/>
                      <wp:effectExtent l="0" t="0" r="15240" b="12700"/>
                      <wp:wrapNone/>
                      <wp:docPr id="63" name="图片_19"/>
                      <wp:cNvGraphicFramePr/>
                      <a:graphic xmlns:a="http://schemas.openxmlformats.org/drawingml/2006/main">
                        <a:graphicData uri="http://schemas.openxmlformats.org/drawingml/2006/picture">
                          <pic:pic xmlns:pic="http://schemas.openxmlformats.org/drawingml/2006/picture">
                            <pic:nvPicPr>
                              <pic:cNvPr id="105" name="图片_19"/>
                              <pic:cNvPicPr/>
                              <pic:nvPr/>
                            </pic:nvPicPr>
                            <pic:blipFill>
                              <a:blip r:embed="rId51"/>
                              <a:stretch/>
                            </pic:blipFill>
                            <pic:spPr bwMode="auto">
                              <a:xfrm>
                                <a:off x="0" y="0"/>
                                <a:ext cx="1184910" cy="280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13.5pt;mso-position-horizontal:absolute;mso-position-vertical-relative:text;margin-top:58.8pt;mso-position-vertical:absolute;width:93.3pt;height:221.0pt;mso-wrap-distance-left:9.0pt;mso-wrap-distance-top:0.0pt;mso-wrap-distance-right:9.0pt;mso-wrap-distance-bottom:0.0pt;" stroked="f">
                      <v:path textboxrect="0,0,0,0"/>
                      <v:imagedata r:id="rId5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1、立杆规格：Ф203*8mm，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1、横臂规格：Ф102*6mm；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vertAlign w:val="superscript"/>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1、立杆规格：Ф219*12mm，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1、立杆规格：Ф237*12mm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2、材质：Q235B镀锌钢管，热镀锌钢管，镀锌量满足相关规范要求；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129540</wp:posOffset>
                      </wp:positionH>
                      <wp:positionV relativeFrom="paragraph">
                        <wp:posOffset>1120775</wp:posOffset>
                      </wp:positionV>
                      <wp:extent cx="1222375" cy="2864485"/>
                      <wp:effectExtent l="0" t="0" r="15875" b="12065"/>
                      <wp:wrapNone/>
                      <wp:docPr id="64" name="图片_19_SpCnt_1"/>
                      <wp:cNvGraphicFramePr/>
                      <a:graphic xmlns:a="http://schemas.openxmlformats.org/drawingml/2006/main">
                        <a:graphicData uri="http://schemas.openxmlformats.org/drawingml/2006/picture">
                          <pic:pic xmlns:pic="http://schemas.openxmlformats.org/drawingml/2006/picture">
                            <pic:nvPicPr>
                              <pic:cNvPr id="112" name="图片_19_SpCnt_1"/>
                              <pic:cNvPicPr/>
                              <pic:nvPr/>
                            </pic:nvPicPr>
                            <pic:blipFill>
                              <a:blip r:embed="rId29"/>
                              <a:stretch/>
                            </pic:blipFill>
                            <pic:spPr bwMode="auto">
                              <a:xfrm>
                                <a:off x="0" y="0"/>
                                <a:ext cx="1222375" cy="286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10.2pt;mso-position-horizontal:absolute;mso-position-vertical-relative:text;margin-top:88.2pt;mso-position-vertical:absolute;width:96.2pt;height:225.5pt;mso-wrap-distance-left:9.0pt;mso-wrap-distance-top:0.0pt;mso-wrap-distance-right:9.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1、立杆规格：Ф299*12mm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维修道路标志牌牌面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1、包含但不限于零件更换、扶正、反光膜的更换等所需要的人工、材料、机械的费用。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指路标牌/ 分道标牌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259080</wp:posOffset>
                      </wp:positionV>
                      <wp:extent cx="1396365" cy="1775460"/>
                      <wp:effectExtent l="0" t="0" r="13335" b="15240"/>
                      <wp:wrapNone/>
                      <wp:docPr id="65" name="图片_23"/>
                      <wp:cNvGraphicFramePr/>
                      <a:graphic xmlns:a="http://schemas.openxmlformats.org/drawingml/2006/main">
                        <a:graphicData uri="http://schemas.openxmlformats.org/drawingml/2006/picture">
                          <pic:pic xmlns:pic="http://schemas.openxmlformats.org/drawingml/2006/picture">
                            <pic:nvPicPr>
                              <pic:cNvPr id="108" name="图片_23"/>
                              <pic:cNvPicPr/>
                              <pic:nvPr/>
                            </pic:nvPicPr>
                            <pic:blipFill>
                              <a:blip r:embed="rId31"/>
                              <a:stretch/>
                            </pic:blipFill>
                            <pic:spPr bwMode="auto">
                              <a:xfrm>
                                <a:off x="0" y="0"/>
                                <a:ext cx="1396365" cy="1775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5.9pt;mso-position-horizontal:absolute;mso-position-vertical-relative:text;margin-top:20.4pt;mso-position-vertical:absolute;width:109.9pt;height:139.8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207010</wp:posOffset>
                      </wp:positionH>
                      <wp:positionV relativeFrom="paragraph">
                        <wp:posOffset>2533015</wp:posOffset>
                      </wp:positionV>
                      <wp:extent cx="1156335" cy="1357630"/>
                      <wp:effectExtent l="0" t="0" r="5715" b="13970"/>
                      <wp:wrapNone/>
                      <wp:docPr id="66" name="IM_192"/>
                      <wp:cNvGraphicFramePr/>
                      <a:graphic xmlns:a="http://schemas.openxmlformats.org/drawingml/2006/main">
                        <a:graphicData uri="http://schemas.openxmlformats.org/drawingml/2006/picture">
                          <pic:pic xmlns:pic="http://schemas.openxmlformats.org/drawingml/2006/picture">
                            <pic:nvPicPr>
                              <pic:cNvPr id="109" name="IM_192"/>
                              <pic:cNvPicPr/>
                              <pic:nvPr/>
                            </pic:nvPicPr>
                            <pic:blipFill>
                              <a:blip r:embed="rId52"/>
                              <a:stretch/>
                            </pic:blipFill>
                            <pic:spPr bwMode="auto">
                              <a:xfrm>
                                <a:off x="0" y="0"/>
                                <a:ext cx="1156335" cy="13576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16.3pt;mso-position-horizontal:absolute;mso-position-vertical-relative:text;margin-top:199.4pt;mso-position-vertical:absolute;width:91.0pt;height:106.9pt;mso-wrap-distance-left:9.0pt;mso-wrap-distance-top:0.0pt;mso-wrap-distance-right:9.0pt;mso-wrap-distance-bottom:0.0pt;" stroked="f">
                      <v:path textboxrect="0,0,0,0"/>
                      <v:imagedata r:id="rId5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本项目施工前，中标单位需提供设具体建设地点、有资质的设计单位出具并盖章的设计图纸及效果图，经建设单位确认同意后方可施工。单价需包含该项实施的所需的全部费用（包含但不限于实施位置的清障费 、设计费、人工、材料、机械 、措施费、行车干扰施工增加费、管理费、利润、税金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等） ，深化设计后的图纸参数不得小于以下基本参数，基本参数如下：</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1、立杆规格：Ф273*8mm，L=8m 热轧无缝钢管；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2、横粱规格：Ф152*8mm，长度 4.59m、0.672m，电焊钢管；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3、5A02铝合金标志板：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4098*2598*3mm；蓝底、白图案、 白边框、蓝衬边/白衬边；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4、6303铝合金龙骨；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5、热镀锌钢管、钢板、螺栓等镀锌量满足相关规范要求；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6、油漆：喷塑层≥76</w:t>
            </w:r>
            <w:r>
              <w:rPr>
                <w:rFonts w:hint="default"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7、板面覆Ⅲ类反光膜，所需的  文字、标志图由建设方拟定，反 光膜的色度性能及逆反射系数值 应符合《GB/T 18833-2012》的有关规定；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8、报价包含土方开挖与回填、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C20混凝土垫层、C25钢筋混凝土 基础（1.6*1.6*2.4m）、钢筋笼 、预埋件、基础锚板、螺栓（全部采用不锈钢螺栓）、抱箍、加劲肋、滑槽、法兰盘及相关配件 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9、安装及运输应符合GB5768- 2009及施工技术规范的要求；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10、具体详见附件三；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11、质保期限：终身质保。</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三、标 线</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217805</wp:posOffset>
                      </wp:positionH>
                      <wp:positionV relativeFrom="paragraph">
                        <wp:posOffset>131445</wp:posOffset>
                      </wp:positionV>
                      <wp:extent cx="956945" cy="808990"/>
                      <wp:effectExtent l="0" t="0" r="14604" b="10160"/>
                      <wp:wrapNone/>
                      <wp:docPr id="67" name="图片_20"/>
                      <wp:cNvGraphicFramePr/>
                      <a:graphic xmlns:a="http://schemas.openxmlformats.org/drawingml/2006/main">
                        <a:graphicData uri="http://schemas.openxmlformats.org/drawingml/2006/picture">
                          <pic:pic xmlns:pic="http://schemas.openxmlformats.org/drawingml/2006/picture">
                            <pic:nvPicPr>
                              <pic:cNvPr id="106" name="图片_20"/>
                              <pic:cNvPicPr/>
                              <pic:nvPr/>
                            </pic:nvPicPr>
                            <pic:blipFill>
                              <a:blip r:embed="rId53"/>
                              <a:stretch/>
                            </pic:blipFill>
                            <pic:spPr bwMode="auto">
                              <a:xfrm>
                                <a:off x="0" y="0"/>
                                <a:ext cx="95694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17.1pt;mso-position-horizontal:absolute;mso-position-vertical-relative:text;margin-top:10.3pt;mso-position-vertical:absolute;width:75.3pt;height:63.7pt;mso-wrap-distance-left:9.0pt;mso-wrap-distance-top:0.0pt;mso-wrap-distance-right:9.0pt;mso-wrap-distance-bottom:0.0pt;" stroked="f">
                      <v:path textboxrect="0,0,0,0"/>
                      <v:imagedata r:id="rId5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机动车停车位线宽0.15m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88900</wp:posOffset>
                      </wp:positionH>
                      <wp:positionV relativeFrom="paragraph">
                        <wp:posOffset>268605</wp:posOffset>
                      </wp:positionV>
                      <wp:extent cx="1251585" cy="772160"/>
                      <wp:effectExtent l="0" t="0" r="5715" b="8890"/>
                      <wp:wrapNone/>
                      <wp:docPr id="68" name="图片_21"/>
                      <wp:cNvGraphicFramePr/>
                      <a:graphic xmlns:a="http://schemas.openxmlformats.org/drawingml/2006/main">
                        <a:graphicData uri="http://schemas.openxmlformats.org/drawingml/2006/picture">
                          <pic:pic xmlns:pic="http://schemas.openxmlformats.org/drawingml/2006/picture">
                            <pic:nvPicPr>
                              <pic:cNvPr id="113" name="图片_21"/>
                              <pic:cNvPicPr/>
                              <pic:nvPr/>
                            </pic:nvPicPr>
                            <pic:blipFill>
                              <a:blip r:embed="rId54"/>
                              <a:stretch/>
                            </pic:blipFill>
                            <pic:spPr bwMode="auto">
                              <a:xfrm>
                                <a:off x="0" y="0"/>
                                <a:ext cx="125158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7.0pt;mso-position-horizontal:absolute;mso-position-vertical-relative:text;margin-top:21.1pt;mso-position-vertical:absolute;width:98.5pt;height:60.8pt;mso-wrap-distance-left:9.0pt;mso-wrap-distance-top:0.0pt;mso-wrap-distance-right:9.0pt;mso-wrap-distance-bottom:0.0pt;" stroked="f">
                      <v:path textboxrect="0,0,0,0"/>
                      <v:imagedata r:id="rId5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非机动车停车位线宽0.1m</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137160</wp:posOffset>
                      </wp:positionH>
                      <wp:positionV relativeFrom="paragraph">
                        <wp:posOffset>280670</wp:posOffset>
                      </wp:positionV>
                      <wp:extent cx="1168400" cy="704215"/>
                      <wp:effectExtent l="0" t="0" r="12700" b="635"/>
                      <wp:wrapNone/>
                      <wp:docPr id="69" name="图片_22"/>
                      <wp:cNvGraphicFramePr/>
                      <a:graphic xmlns:a="http://schemas.openxmlformats.org/drawingml/2006/main">
                        <a:graphicData uri="http://schemas.openxmlformats.org/drawingml/2006/picture">
                          <pic:pic xmlns:pic="http://schemas.openxmlformats.org/drawingml/2006/picture">
                            <pic:nvPicPr>
                              <pic:cNvPr id="107" name="图片_22"/>
                              <pic:cNvPicPr/>
                              <pic:nvPr/>
                            </pic:nvPicPr>
                            <pic:blipFill>
                              <a:blip r:embed="rId34"/>
                              <a:stretch/>
                            </pic:blipFill>
                            <pic:spPr bwMode="auto">
                              <a:xfrm>
                                <a:off x="0" y="0"/>
                                <a:ext cx="1168400"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10.8pt;mso-position-horizontal:absolute;mso-position-vertical-relative:text;margin-top:22.1pt;mso-position-vertical:absolute;width:92.0pt;height:55.4pt;mso-wrap-distance-left:9.0pt;mso-wrap-distance-top:0.0pt;mso-wrap-distance-right:9.0pt;mso-wrap-distance-bottom:0.0pt;" stroked="f">
                      <v:path textboxrect="0,0,0,0"/>
                      <v:imagedata r:id="rId3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2017.15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横向减速线(震荡标线)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315595</wp:posOffset>
                      </wp:positionH>
                      <wp:positionV relativeFrom="paragraph">
                        <wp:posOffset>100330</wp:posOffset>
                      </wp:positionV>
                      <wp:extent cx="913765" cy="587375"/>
                      <wp:effectExtent l="0" t="0" r="635" b="3175"/>
                      <wp:wrapNone/>
                      <wp:docPr id="70" name="图片_23_SpCnt_1"/>
                      <wp:cNvGraphicFramePr/>
                      <a:graphic xmlns:a="http://schemas.openxmlformats.org/drawingml/2006/main">
                        <a:graphicData uri="http://schemas.openxmlformats.org/drawingml/2006/picture">
                          <pic:pic xmlns:pic="http://schemas.openxmlformats.org/drawingml/2006/picture">
                            <pic:nvPicPr>
                              <pic:cNvPr id="110" name="图片_23_SpCnt_1"/>
                              <pic:cNvPicPr/>
                              <pic:nvPr/>
                            </pic:nvPicPr>
                            <pic:blipFill>
                              <a:blip r:embed="rId55"/>
                              <a:stretch/>
                            </pic:blipFill>
                            <pic:spPr bwMode="auto">
                              <a:xfrm>
                                <a:off x="0" y="0"/>
                                <a:ext cx="913765"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24.8pt;mso-position-horizontal:absolute;mso-position-vertical-relative:text;margin-top:7.9pt;mso-position-vertical:absolute;width:72.0pt;height:46.2pt;mso-wrap-distance-left:9.0pt;mso-wrap-distance-top:0.0pt;mso-wrap-distance-right:9.0pt;mso-wrap-distance-bottom:0.0pt;" stroked="f">
                      <v:path textboxrect="0,0,0,0"/>
                      <v:imagedata r:id="rId5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1、标线清除方式由投标人自行考虑，不限于机械清除、高压水枪清除、火除法等；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2、清扫现场、垃圾外运。</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文字模型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wp:posOffset>
                      </wp:positionH>
                      <wp:positionV relativeFrom="paragraph">
                        <wp:posOffset>59690</wp:posOffset>
                      </wp:positionV>
                      <wp:extent cx="875030" cy="646430"/>
                      <wp:effectExtent l="0" t="0" r="1270" b="1270"/>
                      <wp:wrapNone/>
                      <wp:docPr id="71" name="图片_24"/>
                      <wp:cNvGraphicFramePr/>
                      <a:graphic xmlns:a="http://schemas.openxmlformats.org/drawingml/2006/main">
                        <a:graphicData uri="http://schemas.openxmlformats.org/drawingml/2006/picture">
                          <pic:pic xmlns:pic="http://schemas.openxmlformats.org/drawingml/2006/picture">
                            <pic:nvPicPr>
                              <pic:cNvPr id="111" name="图片_24"/>
                              <pic:cNvPicPr/>
                              <pic:nvPr/>
                            </pic:nvPicPr>
                            <pic:blipFill>
                              <a:blip r:embed="rId56"/>
                              <a:stretch/>
                            </pic:blipFill>
                            <pic:spPr bwMode="auto">
                              <a:xfrm>
                                <a:off x="0" y="0"/>
                                <a:ext cx="87503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22.1pt;mso-position-horizontal:absolute;mso-position-vertical-relative:text;margin-top:4.7pt;mso-position-vertical:absolute;width:68.9pt;height:50.9pt;mso-wrap-distance-left:9.0pt;mso-wrap-distance-top:0.0pt;mso-wrap-distance-right:9.0pt;mso-wrap-distance-bottom:0.0pt;" stroked="f">
                      <v:path textboxrect="0,0,0,0"/>
                      <v:imagedata r:id="rId5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1、计量规则：以长、宽最大外接矩形面积计算；</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2、热熔反光型标线。</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四、宣传标牌等广告用品采购项目</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黑白打印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3、黑白打印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彩色纸打印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3、彩色纸张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2、克重：157G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3、双光铜版纸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白卡纸胶装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2、克重：240G 加大封面金丝白卡纸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3、皮纹纸横向胶装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3、打钉或穿孔线装、横向胶装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项目文本铜版纸加急圈装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1、A3胶片圈装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项目文本铜版纸精装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3、打钉或穿线、胶装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1、规格：特大号</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项目效果图手持展板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2、高清户外写真+KT板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3、黑色软包边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1、规格：A0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管网展板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1、高清户外写真+KT板，规格100*140cm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2、含灰色包边费用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交通护栏宣传广告制作安装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加厚户外黑白喷绘布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交通悬空指示牌背面宣传广告制作安装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2、所有更换的公益广告及框架需在地面成套制作完成后再安装。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3、含吊车使用费；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4、本项因白天交通安全问题，必须夜间突击安装，相关增加的费用由报价人综合考虑在报价单价内。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框架焊接</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1、国标热镀锌方管焊接，规格不得小于25*25*1.5mm，间距不大于1m，符合高空安全使用要求。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贴纸制作安装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1、户外高清车贴裱膜制作安装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KT板制作安装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1、写真裱板制作安装，内容根据采购人要求印制；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宣传条幅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1、横幅布穿竹安装（8米）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胸牌工作证</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1、胶皮外壳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2、内页：180G白卡纸双面彩印内页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3、规格：8*12cm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4、配套挂绳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制度牌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设计制作安装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1、材质：开启式铝合金框、PVC透明片（60*90cm）；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2、高精写真内页（内容根据采购人要求印制）。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不锈钢大戗牌租用</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1、尺寸：3.5*2.3米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2、材质：不锈钢</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3、包含运输，安装费用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亚克力桌牌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1、材质：水晶亚克力磁吸桌牌含内页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2、规格：25*13cm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3、内页内容根据采购人要求印制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纸质三角桌牌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1、250G铜版纸印制压痕</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2、加双面胶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3、印制内容据采购人要求印制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彩旗</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1、工地彩旗：60*110cm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2、立杆：竹竿，高度250cm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科室牌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1、材质：铝制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2、规格：28*12cm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喷绘</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2、厚度，克重符合招标人要求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3、规格及固定区域设置双层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4、质保期：2年</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5、拆除费用由投标人自行考虑，结算时不再增加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五、其 他</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45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1、本项目施工前，中标单位需提供设具体建设地点、有资质的设计单位出具并盖章的设计图纸及效果图，经建设单位及公安交警部门确认同意后方可施工；</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2、根据现场实际情况进行锯缝、破除混凝土、挖土、拆除相关障碍物、废碴外运等，由投标人综合考虑此部分费用；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2、成套信号灯含所有硬件、软件、网络、电子警察、电源等一切建设费用；该信号灯接至公安交警指挥平台，并满足公安交警部门使用要求；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3、本交通信号按一个路口为1项，信号灯应满足各个方向的使用要求；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4、此项5年之内的维保费用由投标人报价时结合自身实力综合考虑；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5、具体实施位置根据建设方交办单实施。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2"/>
            <w:shd w:val="clear" w:color="auto" w:fill="fce4d6"/>
            <w:tcBorders>
              <w:top w:val="single" w:color="000000" w:sz="4" w:space="0"/>
              <w:left w:val="single" w:color="000000" w:sz="8" w:space="0"/>
              <w:bottom w:val="single" w:color="000000" w:sz="8"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六、合计</w:t>
            </w:r>
            <w:r/>
          </w:p>
        </w:tc>
        <w:tc>
          <w:tcPr>
            <w:gridSpan w:val="5"/>
            <w:shd w:val="clear" w:color="auto" w:fill="fce4d6"/>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一+二+三+四+五</w:t>
            </w:r>
            <w:r/>
          </w:p>
        </w:tc>
        <w:tc>
          <w:tcPr>
            <w:shd w:val="clear" w:color="auto" w:fill="fce4d6"/>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24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1239" w:type="dxa"/>
            <w:vAlign w:val="center"/>
            <w:textDirection w:val="lrTb"/>
            <w:noWrap w:val="false"/>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2620"/>
        </w:trPr>
        <w:tc>
          <w:tcPr>
            <w:gridSpan w:val="8"/>
            <w:shd w:val="clear" w:color="auto" w:fill="auto"/>
            <w:tcBorders>
              <w:top w:val="none" w:color="000000" w:sz="4" w:space="0"/>
              <w:left w:val="none" w:color="000000" w:sz="4" w:space="0"/>
              <w:bottom w:val="none" w:color="000000" w:sz="4" w:space="0"/>
              <w:right w:val="none" w:color="000000" w:sz="4" w:space="0"/>
            </w:tcBorders>
            <w:tcW w:w="10217" w:type="dxa"/>
            <w:vAlign w:val="center"/>
            <w:textDirection w:val="lrTb"/>
            <w:noWrap w:val="false"/>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注 : </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1、本工程采用全费用综合单价：包含人工、材料、机械、管理费、利润、其他相关的措施费、风 险费、规费及税金等完成工作内容的全部费用。投标人需要综合考虑本项目的项目特征、不能连续作  业、行车/行人带来的干扰等实际可能影响报价的因素。</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2、清单中“建设方指定地点 ”为大丰住建局南侧仓库；</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3、巡查费用由投标人在总价中综合考虑，每日1次的巡查并填写巡查点位表，每旬提供现场水印照片。</w:t>
            </w:r>
            <w:r/>
          </w:p>
        </w:tc>
      </w:tr>
    </w:tbl>
    <w:p>
      <w:pPr>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tbl>
      <w:tblPr>
        <w:tblStyle w:val="690"/>
        <w:tblW w:w="102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2"/>
        <w:gridCol w:w="1181"/>
        <w:gridCol w:w="2180"/>
        <w:gridCol w:w="896"/>
        <w:gridCol w:w="556"/>
        <w:gridCol w:w="2852"/>
        <w:gridCol w:w="794"/>
        <w:gridCol w:w="1324"/>
      </w:tblGrid>
      <w:tr>
        <w:trPr>
          <w:jc w:val="center"/>
          <w:trHeight w:val="1340"/>
        </w:trPr>
        <w:tc>
          <w:tcPr>
            <w:gridSpan w:val="8"/>
            <w:shd w:val="clear" w:color="auto" w:fill="auto"/>
            <w:tcBorders>
              <w:top w:val="none" w:color="000000" w:sz="4" w:space="0"/>
              <w:left w:val="none" w:color="000000" w:sz="4" w:space="0"/>
              <w:bottom w:val="none" w:color="000000" w:sz="4" w:space="0"/>
              <w:right w:val="single" w:color="000000" w:sz="4" w:space="0"/>
            </w:tcBorders>
            <w:tcW w:w="10217" w:type="dxa"/>
            <w:vAlign w:val="center"/>
            <w:textDirection w:val="lrTb"/>
            <w:noWrap w:val="false"/>
          </w:tcPr>
          <w:p>
            <w:pPr>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2025-2026、2026-2027年大丰城区主次干道、桥梁、排水等市政设施及标志标线、栏杆等道路交通设施养护项目采购包八（东宁路（含）以东：广告、标牌、标线、交通信号灯）</w:t>
            </w:r>
            <w:r/>
          </w:p>
        </w:tc>
      </w:tr>
      <w:tr>
        <w:trPr>
          <w:jc w:val="center"/>
          <w:trHeight w:val="480"/>
        </w:trPr>
        <w:tc>
          <w:tcPr>
            <w:shd w:val="clear" w:color="auto" w:fill="ffffff"/>
            <w:tcBorders>
              <w:top w:val="single" w:color="000000" w:sz="8"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图片（部分样式，具体以道路实际为准）</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297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规格/型号</w:t>
            </w:r>
            <w:r/>
          </w:p>
        </w:tc>
        <w:tc>
          <w:tcPr>
            <w:shd w:val="clear" w:color="auto" w:fill="ffffff"/>
            <w:tcBorders>
              <w:top w:val="single" w:color="000000" w:sz="8"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单价</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8" w:space="0"/>
            </w:tcBorders>
            <w:tcW w:w="13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合 计</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（元）</w:t>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8837" w:type="dxa"/>
            <w:vAlign w:val="center"/>
            <w:textDirection w:val="lrTb"/>
            <w:noWrap w:val="false"/>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一、单柱式交通标志牌</w:t>
            </w:r>
            <w:r/>
          </w:p>
        </w:tc>
        <w:tc>
          <w:tcPr>
            <w:shd w:val="clear" w:color="auto" w:fill="fce4d6"/>
            <w:tcBorders>
              <w:top w:val="single" w:color="000000" w:sz="4" w:space="0"/>
              <w:left w:val="single" w:color="000000" w:sz="4" w:space="0"/>
              <w:bottom w:val="single" w:color="000000" w:sz="4" w:space="0"/>
              <w:right w:val="single" w:color="000000" w:sz="8" w:space="0"/>
            </w:tcBorders>
            <w:tcW w:w="1380" w:type="dxa"/>
            <w:vAlign w:val="center"/>
            <w:textDirection w:val="lrTb"/>
            <w:noWrap w:val="false"/>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三角形标志牌牌面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35560</wp:posOffset>
                      </wp:positionH>
                      <wp:positionV relativeFrom="paragraph">
                        <wp:posOffset>534035</wp:posOffset>
                      </wp:positionV>
                      <wp:extent cx="662940" cy="530860"/>
                      <wp:effectExtent l="0" t="0" r="3810" b="2540"/>
                      <wp:wrapNone/>
                      <wp:docPr id="72" name="图片_1"/>
                      <wp:cNvGraphicFramePr/>
                      <a:graphic xmlns:a="http://schemas.openxmlformats.org/drawingml/2006/main">
                        <a:graphicData uri="http://schemas.openxmlformats.org/drawingml/2006/picture">
                          <pic:pic xmlns:pic="http://schemas.openxmlformats.org/drawingml/2006/picture">
                            <pic:nvPicPr>
                              <pic:cNvPr id="141" name="图片_1"/>
                              <pic:cNvPicPr/>
                              <pic:nvPr/>
                            </pic:nvPicPr>
                            <pic:blipFill>
                              <a:blip r:embed="rId14"/>
                              <a:stretch/>
                            </pic:blipFill>
                            <pic:spPr bwMode="auto">
                              <a:xfrm>
                                <a:off x="0" y="0"/>
                                <a:ext cx="662940" cy="53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2.8pt;mso-position-horizontal:absolute;mso-position-vertical-relative:text;margin-top:42.0pt;mso-position-vertical:absolute;width:52.2pt;height:41.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83185</wp:posOffset>
                      </wp:positionH>
                      <wp:positionV relativeFrom="paragraph">
                        <wp:posOffset>1574800</wp:posOffset>
                      </wp:positionV>
                      <wp:extent cx="588010" cy="492760"/>
                      <wp:effectExtent l="0" t="0" r="2540" b="2540"/>
                      <wp:wrapNone/>
                      <wp:docPr id="73" name="图片_2"/>
                      <wp:cNvGraphicFramePr/>
                      <a:graphic xmlns:a="http://schemas.openxmlformats.org/drawingml/2006/main">
                        <a:graphicData uri="http://schemas.openxmlformats.org/drawingml/2006/picture">
                          <pic:pic xmlns:pic="http://schemas.openxmlformats.org/drawingml/2006/picture">
                            <pic:nvPicPr>
                              <pic:cNvPr id="142" name="图片_2"/>
                              <pic:cNvPicPr/>
                              <pic:nvPr/>
                            </pic:nvPicPr>
                            <pic:blipFill>
                              <a:blip r:embed="rId15"/>
                              <a:stretch/>
                            </pic:blipFill>
                            <pic:spPr bwMode="auto">
                              <a:xfrm>
                                <a:off x="0" y="0"/>
                                <a:ext cx="58801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0288;o:allowoverlap:true;o:allowincell:true;mso-position-horizontal-relative:text;margin-left:6.5pt;mso-position-horizontal:absolute;mso-position-vertical-relative:text;margin-top:124.0pt;mso-position-vertical:absolute;width:46.3pt;height:38.8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614045</wp:posOffset>
                      </wp:positionH>
                      <wp:positionV relativeFrom="paragraph">
                        <wp:posOffset>527050</wp:posOffset>
                      </wp:positionV>
                      <wp:extent cx="687070" cy="510540"/>
                      <wp:effectExtent l="0" t="0" r="17780" b="3810"/>
                      <wp:wrapNone/>
                      <wp:docPr id="74" name="图片_3"/>
                      <wp:cNvGraphicFramePr/>
                      <a:graphic xmlns:a="http://schemas.openxmlformats.org/drawingml/2006/main">
                        <a:graphicData uri="http://schemas.openxmlformats.org/drawingml/2006/picture">
                          <pic:pic xmlns:pic="http://schemas.openxmlformats.org/drawingml/2006/picture">
                            <pic:nvPicPr>
                              <pic:cNvPr id="143" name="图片_3"/>
                              <pic:cNvPicPr/>
                              <pic:nvPr/>
                            </pic:nvPicPr>
                            <pic:blipFill>
                              <a:blip r:embed="rId16"/>
                              <a:stretch/>
                            </pic:blipFill>
                            <pic:spPr bwMode="auto">
                              <a:xfrm>
                                <a:off x="0" y="0"/>
                                <a:ext cx="687069"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0288;o:allowoverlap:true;o:allowincell:true;mso-position-horizontal-relative:text;margin-left:48.3pt;mso-position-horizontal:absolute;mso-position-vertical-relative:text;margin-top:41.5pt;mso-position-vertical:absolute;width:54.1pt;height:40.2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671830</wp:posOffset>
                      </wp:positionH>
                      <wp:positionV relativeFrom="paragraph">
                        <wp:posOffset>1582420</wp:posOffset>
                      </wp:positionV>
                      <wp:extent cx="658495" cy="569595"/>
                      <wp:effectExtent l="0" t="0" r="8255" b="1905"/>
                      <wp:wrapNone/>
                      <wp:docPr id="75" name="图片_4"/>
                      <wp:cNvGraphicFramePr/>
                      <a:graphic xmlns:a="http://schemas.openxmlformats.org/drawingml/2006/main">
                        <a:graphicData uri="http://schemas.openxmlformats.org/drawingml/2006/picture">
                          <pic:pic xmlns:pic="http://schemas.openxmlformats.org/drawingml/2006/picture">
                            <pic:nvPicPr>
                              <pic:cNvPr id="144" name="图片_4"/>
                              <pic:cNvPicPr/>
                              <pic:nvPr/>
                            </pic:nvPicPr>
                            <pic:blipFill>
                              <a:blip r:embed="rId37"/>
                              <a:stretch/>
                            </pic:blipFill>
                            <pic:spPr bwMode="auto">
                              <a:xfrm>
                                <a:off x="0" y="0"/>
                                <a:ext cx="65849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0288;o:allowoverlap:true;o:allowincell:true;mso-position-horizontal-relative:text;margin-left:52.9pt;mso-position-horizontal:absolute;mso-position-vertical-relative:text;margin-top:124.6pt;mso-position-vertical:absolute;width:51.8pt;height:44.8pt;mso-wrap-distance-left:9.0pt;mso-wrap-distance-top:0.0pt;mso-wrap-distance-right:9.0pt;mso-wrap-distance-bottom:0.0pt;" stroked="f">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1、△L=700mm；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1、△L=900mm；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1、△L=1100mm；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1、△L=1300mm；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圆形（包含八角形）标志牌牌面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22860</wp:posOffset>
                      </wp:positionH>
                      <wp:positionV relativeFrom="paragraph">
                        <wp:posOffset>1828800</wp:posOffset>
                      </wp:positionV>
                      <wp:extent cx="727075" cy="565785"/>
                      <wp:effectExtent l="0" t="0" r="15875" b="5715"/>
                      <wp:wrapNone/>
                      <wp:docPr id="76" name="图片_9"/>
                      <wp:cNvGraphicFramePr/>
                      <a:graphic xmlns:a="http://schemas.openxmlformats.org/drawingml/2006/main">
                        <a:graphicData uri="http://schemas.openxmlformats.org/drawingml/2006/picture">
                          <pic:pic xmlns:pic="http://schemas.openxmlformats.org/drawingml/2006/picture">
                            <pic:nvPicPr>
                              <pic:cNvPr id="140" name="图片_9"/>
                              <pic:cNvPicPr/>
                              <pic:nvPr/>
                            </pic:nvPicPr>
                            <pic:blipFill>
                              <a:blip r:embed="rId38"/>
                              <a:stretch/>
                            </pic:blipFill>
                            <pic:spPr bwMode="auto">
                              <a:xfrm>
                                <a:off x="0" y="0"/>
                                <a:ext cx="727075"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0288;o:allowoverlap:true;o:allowincell:true;mso-position-horizontal-relative:text;margin-left:1.8pt;mso-position-horizontal:absolute;mso-position-vertical-relative:text;margin-top:144.0pt;mso-position-vertical:absolute;width:57.2pt;height:44.5pt;mso-wrap-distance-left:9.0pt;mso-wrap-distance-top:0.0pt;mso-wrap-distance-right:9.0pt;mso-wrap-distance-bottom:0.0pt;" stroked="f">
                      <v:path textboxrect="0,0,0,0"/>
                      <v:imagedata r:id="rId38"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wp:posOffset>
                      </wp:positionH>
                      <wp:positionV relativeFrom="paragraph">
                        <wp:posOffset>770890</wp:posOffset>
                      </wp:positionV>
                      <wp:extent cx="681355" cy="561340"/>
                      <wp:effectExtent l="0" t="0" r="4445" b="10160"/>
                      <wp:wrapNone/>
                      <wp:docPr id="77" name="图片_7"/>
                      <wp:cNvGraphicFramePr/>
                      <a:graphic xmlns:a="http://schemas.openxmlformats.org/drawingml/2006/main">
                        <a:graphicData uri="http://schemas.openxmlformats.org/drawingml/2006/picture">
                          <pic:pic xmlns:pic="http://schemas.openxmlformats.org/drawingml/2006/picture">
                            <pic:nvPicPr>
                              <pic:cNvPr id="145" name="图片_7"/>
                              <pic:cNvPicPr/>
                              <pic:nvPr/>
                            </pic:nvPicPr>
                            <pic:blipFill>
                              <a:blip r:embed="rId39"/>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0288;o:allowoverlap:true;o:allowincell:true;mso-position-horizontal-relative:text;margin-left:2.4pt;mso-position-horizontal:absolute;mso-position-vertical-relative:text;margin-top:60.7pt;mso-position-vertical:absolute;width:53.6pt;height:44.2pt;mso-wrap-distance-left:9.0pt;mso-wrap-distance-top:0.0pt;mso-wrap-distance-right:9.0pt;mso-wrap-distance-bottom:0.0pt;" stroked="f">
                      <v:path textboxrect="0,0,0,0"/>
                      <v:imagedata r:id="rId39"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723265</wp:posOffset>
                      </wp:positionH>
                      <wp:positionV relativeFrom="paragraph">
                        <wp:posOffset>1828800</wp:posOffset>
                      </wp:positionV>
                      <wp:extent cx="602615" cy="557530"/>
                      <wp:effectExtent l="0" t="0" r="6985" b="13970"/>
                      <wp:wrapNone/>
                      <wp:docPr id="78" name="图片_10"/>
                      <wp:cNvGraphicFramePr/>
                      <a:graphic xmlns:a="http://schemas.openxmlformats.org/drawingml/2006/main">
                        <a:graphicData uri="http://schemas.openxmlformats.org/drawingml/2006/picture">
                          <pic:pic xmlns:pic="http://schemas.openxmlformats.org/drawingml/2006/picture">
                            <pic:nvPicPr>
                              <pic:cNvPr id="139" name="图片_10"/>
                              <pic:cNvPicPr/>
                              <pic:nvPr/>
                            </pic:nvPicPr>
                            <pic:blipFill>
                              <a:blip r:embed="rId40"/>
                              <a:stretch/>
                            </pic:blipFill>
                            <pic:spPr bwMode="auto">
                              <a:xfrm>
                                <a:off x="0" y="0"/>
                                <a:ext cx="602615" cy="557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0288;o:allowoverlap:true;o:allowincell:true;mso-position-horizontal-relative:text;margin-left:56.9pt;mso-position-horizontal:absolute;mso-position-vertical-relative:text;margin-top:144.0pt;mso-position-vertical:absolute;width:47.4pt;height:43.9pt;mso-wrap-distance-left:9.0pt;mso-wrap-distance-top:0.0pt;mso-wrap-distance-right:9.0pt;mso-wrap-distance-bottom:0.0pt;" stroked="f">
                      <v:path textboxrect="0,0,0,0"/>
                      <v:imagedata r:id="rId40"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734695</wp:posOffset>
                      </wp:positionH>
                      <wp:positionV relativeFrom="paragraph">
                        <wp:posOffset>770890</wp:posOffset>
                      </wp:positionV>
                      <wp:extent cx="638810" cy="587375"/>
                      <wp:effectExtent l="0" t="0" r="8890" b="3175"/>
                      <wp:wrapNone/>
                      <wp:docPr id="79" name="图片_8"/>
                      <wp:cNvGraphicFramePr/>
                      <a:graphic xmlns:a="http://schemas.openxmlformats.org/drawingml/2006/main">
                        <a:graphicData uri="http://schemas.openxmlformats.org/drawingml/2006/picture">
                          <pic:pic xmlns:pic="http://schemas.openxmlformats.org/drawingml/2006/picture">
                            <pic:nvPicPr>
                              <pic:cNvPr id="135" name="图片_8"/>
                              <pic:cNvPicPr/>
                              <pic:nvPr/>
                            </pic:nvPicPr>
                            <pic:blipFill>
                              <a:blip r:embed="rId41"/>
                              <a:stretch/>
                            </pic:blipFill>
                            <pic:spPr bwMode="auto">
                              <a:xfrm>
                                <a:off x="0" y="0"/>
                                <a:ext cx="638810"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0288;o:allowoverlap:true;o:allowincell:true;mso-position-horizontal-relative:text;margin-left:57.8pt;mso-position-horizontal:absolute;mso-position-vertical-relative:text;margin-top:60.7pt;mso-position-vertical:absolute;width:50.3pt;height:46.2pt;mso-wrap-distance-left:9.0pt;mso-wrap-distance-top:0.0pt;mso-wrap-distance-right:9.0pt;mso-wrap-distance-bottom:0.0pt;" stroked="f">
                      <v:path textboxrect="0,0,0,0"/>
                      <v:imagedata r:id="rId4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1、直径：Ф600mm；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1、直径：Ф800mm；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1、直径：Ф1000mm；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1、直径：Ф1200mm；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2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正方形及不规则标志牌牌面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119380</wp:posOffset>
                      </wp:positionV>
                      <wp:extent cx="723265" cy="1332865"/>
                      <wp:effectExtent l="0" t="0" r="635" b="635"/>
                      <wp:wrapNone/>
                      <wp:docPr id="80" name="图片_11"/>
                      <wp:cNvGraphicFramePr/>
                      <a:graphic xmlns:a="http://schemas.openxmlformats.org/drawingml/2006/main">
                        <a:graphicData uri="http://schemas.openxmlformats.org/drawingml/2006/picture">
                          <pic:pic xmlns:pic="http://schemas.openxmlformats.org/drawingml/2006/picture">
                            <pic:nvPicPr>
                              <pic:cNvPr id="136" name="图片_11"/>
                              <pic:cNvPicPr/>
                              <pic:nvPr/>
                            </pic:nvPicPr>
                            <pic:blipFill>
                              <a:blip r:embed="rId22"/>
                              <a:stretch/>
                            </pic:blipFill>
                            <pic:spPr bwMode="auto">
                              <a:xfrm>
                                <a:off x="0" y="0"/>
                                <a:ext cx="72326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0288;o:allowoverlap:true;o:allowincell:true;mso-position-horizontal-relative:text;margin-left:5.5pt;mso-position-horizontal:absolute;mso-position-vertical-relative:text;margin-top:9.4pt;mso-position-vertical:absolute;width:56.9pt;height:104.9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855980</wp:posOffset>
                      </wp:positionH>
                      <wp:positionV relativeFrom="paragraph">
                        <wp:posOffset>804545</wp:posOffset>
                      </wp:positionV>
                      <wp:extent cx="527050" cy="565150"/>
                      <wp:effectExtent l="0" t="0" r="6350" b="6350"/>
                      <wp:wrapNone/>
                      <wp:docPr id="81" name="图片_12"/>
                      <wp:cNvGraphicFramePr/>
                      <a:graphic xmlns:a="http://schemas.openxmlformats.org/drawingml/2006/main">
                        <a:graphicData uri="http://schemas.openxmlformats.org/drawingml/2006/picture">
                          <pic:pic xmlns:pic="http://schemas.openxmlformats.org/drawingml/2006/picture">
                            <pic:nvPicPr>
                              <pic:cNvPr id="137" name="图片_12"/>
                              <pic:cNvPicPr/>
                              <pic:nvPr/>
                            </pic:nvPicPr>
                            <pic:blipFill>
                              <a:blip r:embed="rId23"/>
                              <a:stretch/>
                            </pic:blipFill>
                            <pic:spPr bwMode="auto">
                              <a:xfrm>
                                <a:off x="0" y="0"/>
                                <a:ext cx="52705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0288;o:allowoverlap:true;o:allowincell:true;mso-position-horizontal-relative:text;margin-left:67.4pt;mso-position-horizontal:absolute;mso-position-vertical-relative:text;margin-top:63.3pt;mso-position-vertical:absolute;width:41.5pt;height:44.5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857250</wp:posOffset>
                      </wp:positionH>
                      <wp:positionV relativeFrom="paragraph">
                        <wp:posOffset>83185</wp:posOffset>
                      </wp:positionV>
                      <wp:extent cx="569595" cy="618490"/>
                      <wp:effectExtent l="0" t="0" r="1905" b="10160"/>
                      <wp:wrapNone/>
                      <wp:docPr id="82" name="图片_15"/>
                      <wp:cNvGraphicFramePr/>
                      <a:graphic xmlns:a="http://schemas.openxmlformats.org/drawingml/2006/main">
                        <a:graphicData uri="http://schemas.openxmlformats.org/drawingml/2006/picture">
                          <pic:pic xmlns:pic="http://schemas.openxmlformats.org/drawingml/2006/picture">
                            <pic:nvPicPr>
                              <pic:cNvPr id="138" name="图片_15"/>
                              <pic:cNvPicPr/>
                              <pic:nvPr/>
                            </pic:nvPicPr>
                            <pic:blipFill>
                              <a:blip r:embed="rId24"/>
                              <a:stretch/>
                            </pic:blipFill>
                            <pic:spPr bwMode="auto">
                              <a:xfrm>
                                <a:off x="0" y="0"/>
                                <a:ext cx="569595"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0288;o:allowoverlap:true;o:allowincell:true;mso-position-horizontal-relative:text;margin-left:67.5pt;mso-position-horizontal:absolute;mso-position-vertical-relative:text;margin-top:6.5pt;mso-position-vertical:absolute;width:44.8pt;height:48.7pt;mso-wrap-distance-left:9.0pt;mso-wrap-distance-top:0.0pt;mso-wrap-distance-right:9.0pt;mso-wrap-distance-bottom:0.0pt;" stroked="f">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3、板面覆Ⅱ类反光膜及所需的文字、标志图，反光膜需符合《GB/T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单柱式立杆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150495</wp:posOffset>
                      </wp:positionH>
                      <wp:positionV relativeFrom="paragraph">
                        <wp:posOffset>1612265</wp:posOffset>
                      </wp:positionV>
                      <wp:extent cx="1162685" cy="1484630"/>
                      <wp:effectExtent l="0" t="0" r="18415" b="1270"/>
                      <wp:wrapNone/>
                      <wp:docPr id="83" name="图片_16"/>
                      <wp:cNvGraphicFramePr/>
                      <a:graphic xmlns:a="http://schemas.openxmlformats.org/drawingml/2006/main">
                        <a:graphicData uri="http://schemas.openxmlformats.org/drawingml/2006/picture">
                          <pic:pic xmlns:pic="http://schemas.openxmlformats.org/drawingml/2006/picture">
                            <pic:nvPicPr>
                              <pic:cNvPr id="130" name="图片_16"/>
                              <pic:cNvPicPr/>
                              <pic:nvPr/>
                            </pic:nvPicPr>
                            <pic:blipFill>
                              <a:blip r:embed="rId25"/>
                              <a:stretch/>
                            </pic:blipFill>
                            <pic:spPr bwMode="auto">
                              <a:xfrm>
                                <a:off x="0" y="0"/>
                                <a:ext cx="1162685" cy="148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0288;o:allowoverlap:true;o:allowincell:true;mso-position-horizontal-relative:text;margin-left:11.8pt;mso-position-horizontal:absolute;mso-position-vertical-relative:text;margin-top:126.9pt;mso-position-vertical:absolute;width:91.5pt;height:116.9pt;mso-wrap-distance-left:9.0pt;mso-wrap-distance-top:0.0pt;mso-wrap-distance-right:9.0pt;mso-wrap-distance-bottom:0.0pt;" stroked="f">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1、规格：Ф89*4.5mm；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1、规格：Ф76*4.5mm；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1、规格：Ф114*4.5mm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1、规格：Ф102*4.5mm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1、规格：Ф108*4.5mm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1、规格：Ф140*4.5mm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7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拆除单柱式交通标志牌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1、整套拆除损坏需更换的单柱式交通标志牌；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2、拆除混凝土基础，垃圾外运，垃圾处理需满足环保部门的相关要求。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3、牌面、立杆等金属类物件经建设方确认工程量后运至建设方指定地点。</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二、单悬臂式交通标志牌（F型立杆）</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33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单悬臂式交通标志牌牌面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102235</wp:posOffset>
                      </wp:positionH>
                      <wp:positionV relativeFrom="paragraph">
                        <wp:posOffset>1116330</wp:posOffset>
                      </wp:positionV>
                      <wp:extent cx="1296670" cy="929640"/>
                      <wp:effectExtent l="0" t="0" r="17780" b="3810"/>
                      <wp:wrapNone/>
                      <wp:docPr id="84" name="图片_18"/>
                      <wp:cNvGraphicFramePr/>
                      <a:graphic xmlns:a="http://schemas.openxmlformats.org/drawingml/2006/main">
                        <a:graphicData uri="http://schemas.openxmlformats.org/drawingml/2006/picture">
                          <pic:pic xmlns:pic="http://schemas.openxmlformats.org/drawingml/2006/picture">
                            <pic:nvPicPr>
                              <pic:cNvPr id="128" name="图片_18"/>
                              <pic:cNvPicPr/>
                              <pic:nvPr/>
                            </pic:nvPicPr>
                            <pic:blipFill>
                              <a:blip r:embed="rId26"/>
                              <a:stretch/>
                            </pic:blipFill>
                            <pic:spPr bwMode="auto">
                              <a:xfrm>
                                <a:off x="0" y="0"/>
                                <a:ext cx="1296670"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0288;o:allowoverlap:true;o:allowincell:true;mso-position-horizontal-relative:text;margin-left:8.0pt;mso-position-horizontal:absolute;mso-position-vertical-relative:text;margin-top:87.9pt;mso-position-vertical:absolute;width:102.1pt;height:73.2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119380</wp:posOffset>
                      </wp:positionH>
                      <wp:positionV relativeFrom="paragraph">
                        <wp:posOffset>76835</wp:posOffset>
                      </wp:positionV>
                      <wp:extent cx="1110615" cy="1019175"/>
                      <wp:effectExtent l="0" t="0" r="13335" b="9525"/>
                      <wp:wrapNone/>
                      <wp:docPr id="85" name="图片_17"/>
                      <wp:cNvGraphicFramePr/>
                      <a:graphic xmlns:a="http://schemas.openxmlformats.org/drawingml/2006/main">
                        <a:graphicData uri="http://schemas.openxmlformats.org/drawingml/2006/picture">
                          <pic:pic xmlns:pic="http://schemas.openxmlformats.org/drawingml/2006/picture">
                            <pic:nvPicPr>
                              <pic:cNvPr id="126" name="图片_17"/>
                              <pic:cNvPicPr/>
                              <pic:nvPr/>
                            </pic:nvPicPr>
                            <pic:blipFill>
                              <a:blip r:embed="rId27"/>
                              <a:stretch/>
                            </pic:blipFill>
                            <pic:spPr bwMode="auto">
                              <a:xfrm>
                                <a:off x="0" y="0"/>
                                <a:ext cx="111061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0288;o:allowoverlap:true;o:allowincell:true;mso-position-horizontal-relative:text;margin-left:9.4pt;mso-position-horizontal:absolute;mso-position-vertical-relative:text;margin-top:6.0pt;mso-position-vertical:absolute;width:87.5pt;height:80.2pt;mso-wrap-distance-left:9.0pt;mso-wrap-distance-top:0.0pt;mso-wrap-distance-right:9.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1、计量规则：长*宽；</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2、材质：铝合金板1.8mm厚；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3、板面覆Ⅲ类反光膜及所需的文字、标志图，反光膜需符合《GB/T 18833-2012》的规定。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4、连接件采用不锈钢材质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171450</wp:posOffset>
                      </wp:positionH>
                      <wp:positionV relativeFrom="paragraph">
                        <wp:posOffset>746760</wp:posOffset>
                      </wp:positionV>
                      <wp:extent cx="1184910" cy="2806700"/>
                      <wp:effectExtent l="0" t="0" r="15240" b="12700"/>
                      <wp:wrapNone/>
                      <wp:docPr id="86" name="图片_19"/>
                      <wp:cNvGraphicFramePr/>
                      <a:graphic xmlns:a="http://schemas.openxmlformats.org/drawingml/2006/main">
                        <a:graphicData uri="http://schemas.openxmlformats.org/drawingml/2006/picture">
                          <pic:pic xmlns:pic="http://schemas.openxmlformats.org/drawingml/2006/picture">
                            <pic:nvPicPr>
                              <pic:cNvPr id="125" name="图片_19"/>
                              <pic:cNvPicPr/>
                              <pic:nvPr/>
                            </pic:nvPicPr>
                            <pic:blipFill>
                              <a:blip r:embed="rId42"/>
                              <a:stretch/>
                            </pic:blipFill>
                            <pic:spPr bwMode="auto">
                              <a:xfrm>
                                <a:off x="0" y="0"/>
                                <a:ext cx="1184910" cy="280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0288;o:allowoverlap:true;o:allowincell:true;mso-position-horizontal-relative:text;margin-left:13.5pt;mso-position-horizontal:absolute;mso-position-vertical-relative:text;margin-top:58.8pt;mso-position-vertical:absolute;width:93.3pt;height:221.0pt;mso-wrap-distance-left:9.0pt;mso-wrap-distance-top:0.0pt;mso-wrap-distance-right:9.0pt;mso-wrap-distance-bottom:0.0pt;" stroked="f">
                      <v:path textboxrect="0,0,0,0"/>
                      <v:imagedata r:id="rId4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1、立杆规格：Ф203*8mm，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1、横臂规格：Ф102*6mm；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vertAlign w:val="superscript"/>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1、立杆规格：Ф219*12mm，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1、立杆规格：Ф237*12mm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2、材质：Q235B镀锌钢管，热镀锌钢管，镀锌量满足相关规范要求；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1、横臂规格：Ф127*6mm；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F型立杆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129540</wp:posOffset>
                      </wp:positionH>
                      <wp:positionV relativeFrom="paragraph">
                        <wp:posOffset>1120775</wp:posOffset>
                      </wp:positionV>
                      <wp:extent cx="1222375" cy="2864485"/>
                      <wp:effectExtent l="0" t="0" r="15875" b="12065"/>
                      <wp:wrapNone/>
                      <wp:docPr id="87" name="图片_19_SpCnt_1"/>
                      <wp:cNvGraphicFramePr/>
                      <a:graphic xmlns:a="http://schemas.openxmlformats.org/drawingml/2006/main">
                        <a:graphicData uri="http://schemas.openxmlformats.org/drawingml/2006/picture">
                          <pic:pic xmlns:pic="http://schemas.openxmlformats.org/drawingml/2006/picture">
                            <pic:nvPicPr>
                              <pic:cNvPr id="127" name="图片_19_SpCnt_1"/>
                              <pic:cNvPicPr/>
                              <pic:nvPr/>
                            </pic:nvPicPr>
                            <pic:blipFill>
                              <a:blip r:embed="rId29"/>
                              <a:stretch/>
                            </pic:blipFill>
                            <pic:spPr bwMode="auto">
                              <a:xfrm>
                                <a:off x="0" y="0"/>
                                <a:ext cx="1222375" cy="2864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10.2pt;mso-position-horizontal:absolute;mso-position-vertical-relative:text;margin-top:88.2pt;mso-position-vertical:absolute;width:96.2pt;height:225.5pt;mso-wrap-distance-left:9.0pt;mso-wrap-distance-top:0.0pt;mso-wrap-distance-right:9.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1、立杆规格：Ф299*12mm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1、立杆规格：Ф352*12mm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4、综合单价含立杆、柱脚法兰连接件，柱帽等。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1、横臂规格：Ф152*6mm；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2、材质：Q235B热镀锌钢管，镀锌量满足相关规范要求；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3、油漆：喷塑层≥76</w:t>
            </w:r>
            <w:r>
              <w:rPr>
                <w:rFonts w:hint="eastAsia" w:ascii="宋体" w:hAnsi="宋体" w:eastAsia="宋体" w:cs="宋体"/>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4、综合单价含横杆、法兰连接件，连接螺栓等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2、C25混凝土浇筑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3、综合单价包含土方、混凝土；工程量按混凝土基础工程量计算</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预埋件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综合单价含预埋螺栓、螺母、垫片等</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1、钢筋类别综合考虑</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维修道路标志牌牌面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1、包含但不限于零件更换、扶正、反光膜的更换等所需要的人工、材料、机械的费用。</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指路标牌/ 分道标牌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259080</wp:posOffset>
                      </wp:positionV>
                      <wp:extent cx="1396365" cy="1775460"/>
                      <wp:effectExtent l="0" t="0" r="13335" b="15240"/>
                      <wp:wrapNone/>
                      <wp:docPr id="88" name="图片_17_SpCnt_1"/>
                      <wp:cNvGraphicFramePr/>
                      <a:graphic xmlns:a="http://schemas.openxmlformats.org/drawingml/2006/main">
                        <a:graphicData uri="http://schemas.openxmlformats.org/drawingml/2006/picture">
                          <pic:pic xmlns:pic="http://schemas.openxmlformats.org/drawingml/2006/picture">
                            <pic:nvPicPr>
                              <pic:cNvPr id="129" name="图片_17_SpCnt_1"/>
                              <pic:cNvPicPr/>
                              <pic:nvPr/>
                            </pic:nvPicPr>
                            <pic:blipFill>
                              <a:blip r:embed="rId31"/>
                              <a:stretch/>
                            </pic:blipFill>
                            <pic:spPr bwMode="auto">
                              <a:xfrm>
                                <a:off x="0" y="0"/>
                                <a:ext cx="1396365" cy="1775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5.9pt;mso-position-horizontal:absolute;mso-position-vertical-relative:text;margin-top:20.4pt;mso-position-vertical:absolute;width:109.9pt;height:139.8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207010</wp:posOffset>
                      </wp:positionH>
                      <wp:positionV relativeFrom="paragraph">
                        <wp:posOffset>2533015</wp:posOffset>
                      </wp:positionV>
                      <wp:extent cx="1156335" cy="1357630"/>
                      <wp:effectExtent l="0" t="0" r="5715" b="13970"/>
                      <wp:wrapNone/>
                      <wp:docPr id="89" name="IM_192"/>
                      <wp:cNvGraphicFramePr/>
                      <a:graphic xmlns:a="http://schemas.openxmlformats.org/drawingml/2006/main">
                        <a:graphicData uri="http://schemas.openxmlformats.org/drawingml/2006/picture">
                          <pic:pic xmlns:pic="http://schemas.openxmlformats.org/drawingml/2006/picture">
                            <pic:nvPicPr>
                              <pic:cNvPr id="131" name="IM_192"/>
                              <pic:cNvPicPr/>
                              <pic:nvPr/>
                            </pic:nvPicPr>
                            <pic:blipFill>
                              <a:blip r:embed="rId30"/>
                              <a:stretch/>
                            </pic:blipFill>
                            <pic:spPr bwMode="auto">
                              <a:xfrm>
                                <a:off x="0" y="0"/>
                                <a:ext cx="1156335" cy="13576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0288;o:allowoverlap:true;o:allowincell:true;mso-position-horizontal-relative:text;margin-left:16.3pt;mso-position-horizontal:absolute;mso-position-vertical-relative:text;margin-top:199.4pt;mso-position-vertical:absolute;width:91.0pt;height:106.9pt;mso-wrap-distance-left:9.0pt;mso-wrap-distance-top:0.0pt;mso-wrap-distance-right:9.0pt;mso-wrap-distance-bottom:0.0pt;" stroked="f">
                      <v:path textboxrect="0,0,0,0"/>
                      <v:imagedata r:id="rId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本项目施工前，中标单位需提供设具体建设地点、有资质的设计单位出具并盖章的设计图纸及效果图，经建设单位确认同意后方可施工。单价需包含该项实施的所需的全部费用（包含但不限于实施位置的清障费 、设计费、人工、材料、机械 、措施费、行车干扰施工增加费、管理费、利润、税金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等） ，深化设计后的图纸参数不得小于以下基本参数，基本参数如下：</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1、立杆规格：Ф273*8mm，L=8m 热轧无缝钢管；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2、横粱规格：Ф152*8mm，长度 4.59m、0.672m，电焊钢管；</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3、5A02铝合金标志板：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4098*2598*3mm；蓝底、白图案、 白边框、蓝衬边/白衬边；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4、6303铝合金龙骨；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5、热镀锌钢管、钢板、螺栓等镀锌量满足相关规范要求；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6、油漆：喷塑层≥76</w:t>
            </w:r>
            <w:r>
              <w:rPr>
                <w:rFonts w:hint="default" w:ascii="Arial" w:hAnsi="Arial" w:eastAsia="仿宋" w:cs="Arial"/>
                <w:i w:val="0"/>
                <w:iCs w:val="0"/>
                <w:color w:val="000000"/>
                <w:sz w:val="17"/>
                <w:szCs w:val="17"/>
                <w:u w:val="none"/>
                <w:lang w:val="en-US" w:eastAsia="zh-CN" w:bidi="ar"/>
              </w:rPr>
              <w:t xml:space="preserve">µ</w:t>
            </w: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7、板面覆Ⅲ类反光膜，所需的  文字、标志图由建设方拟定，反 光膜的色度性能及逆反射系数值 应符合《GB/T 18833-2012》的有关规定；</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8、报价包含土方开挖与回填、</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C20混凝土垫层、C25钢筋混凝土 基础（1.6*1.6*2.4m）、钢筋笼 、预埋件、基础锚板、螺栓（全部采用不锈钢螺栓）、抱箍、加劲肋、滑槽、法兰盘及相关配件 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9、安装及运输应符合GB5768- 2009及施工技术规范的要求；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10、具体详见附件三；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11、质保期限：终身质保。</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三、标 线</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道路标线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217805</wp:posOffset>
                      </wp:positionH>
                      <wp:positionV relativeFrom="paragraph">
                        <wp:posOffset>131445</wp:posOffset>
                      </wp:positionV>
                      <wp:extent cx="956945" cy="808990"/>
                      <wp:effectExtent l="0" t="0" r="14604" b="10160"/>
                      <wp:wrapNone/>
                      <wp:docPr id="90" name="图片_20"/>
                      <wp:cNvGraphicFramePr/>
                      <a:graphic xmlns:a="http://schemas.openxmlformats.org/drawingml/2006/main">
                        <a:graphicData uri="http://schemas.openxmlformats.org/drawingml/2006/picture">
                          <pic:pic xmlns:pic="http://schemas.openxmlformats.org/drawingml/2006/picture">
                            <pic:nvPicPr>
                              <pic:cNvPr id="132" name="图片_20"/>
                              <pic:cNvPicPr/>
                              <pic:nvPr/>
                            </pic:nvPicPr>
                            <pic:blipFill>
                              <a:blip r:embed="rId43"/>
                              <a:stretch/>
                            </pic:blipFill>
                            <pic:spPr bwMode="auto">
                              <a:xfrm>
                                <a:off x="0" y="0"/>
                                <a:ext cx="956945" cy="8089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0288;o:allowoverlap:true;o:allowincell:true;mso-position-horizontal-relative:text;margin-left:17.1pt;mso-position-horizontal:absolute;mso-position-vertical-relative:text;margin-top:10.3pt;mso-position-vertical:absolute;width:75.3pt;height:63.7pt;mso-wrap-distance-left:9.0pt;mso-wrap-distance-top:0.0pt;mso-wrap-distance-right:9.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7000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机动车停车位线宽0.15m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88900</wp:posOffset>
                      </wp:positionH>
                      <wp:positionV relativeFrom="paragraph">
                        <wp:posOffset>268605</wp:posOffset>
                      </wp:positionV>
                      <wp:extent cx="1251585" cy="772160"/>
                      <wp:effectExtent l="0" t="0" r="5715" b="8890"/>
                      <wp:wrapNone/>
                      <wp:docPr id="91" name="图片_21"/>
                      <wp:cNvGraphicFramePr/>
                      <a:graphic xmlns:a="http://schemas.openxmlformats.org/drawingml/2006/main">
                        <a:graphicData uri="http://schemas.openxmlformats.org/drawingml/2006/picture">
                          <pic:pic xmlns:pic="http://schemas.openxmlformats.org/drawingml/2006/picture">
                            <pic:nvPicPr>
                              <pic:cNvPr id="133" name="图片_21"/>
                              <pic:cNvPicPr/>
                              <pic:nvPr/>
                            </pic:nvPicPr>
                            <pic:blipFill>
                              <a:blip r:embed="rId44"/>
                              <a:stretch/>
                            </pic:blipFill>
                            <pic:spPr bwMode="auto">
                              <a:xfrm>
                                <a:off x="0" y="0"/>
                                <a:ext cx="125158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0288;o:allowoverlap:true;o:allowincell:true;mso-position-horizontal-relative:text;margin-left:7.0pt;mso-position-horizontal:absolute;mso-position-vertical-relative:text;margin-top:21.1pt;mso-position-vertical:absolute;width:98.5pt;height:60.8pt;mso-wrap-distance-left:9.0pt;mso-wrap-distance-top:0.0pt;mso-wrap-distance-right:9.0pt;mso-wrap-distance-bottom:0.0pt;" stroked="f">
                      <v:path textboxrect="0,0,0,0"/>
                      <v:imagedata r:id="rId4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4、基层清理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非机动车停车位线宽0.1m</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137160</wp:posOffset>
                      </wp:positionH>
                      <wp:positionV relativeFrom="paragraph">
                        <wp:posOffset>280670</wp:posOffset>
                      </wp:positionV>
                      <wp:extent cx="1168400" cy="704215"/>
                      <wp:effectExtent l="0" t="0" r="12700" b="635"/>
                      <wp:wrapNone/>
                      <wp:docPr id="92" name="图片_22"/>
                      <wp:cNvGraphicFramePr/>
                      <a:graphic xmlns:a="http://schemas.openxmlformats.org/drawingml/2006/main">
                        <a:graphicData uri="http://schemas.openxmlformats.org/drawingml/2006/picture">
                          <pic:pic xmlns:pic="http://schemas.openxmlformats.org/drawingml/2006/picture">
                            <pic:nvPicPr>
                              <pic:cNvPr id="134" name="图片_22"/>
                              <pic:cNvPicPr/>
                              <pic:nvPr/>
                            </pic:nvPicPr>
                            <pic:blipFill>
                              <a:blip r:embed="rId45"/>
                              <a:stretch/>
                            </pic:blipFill>
                            <pic:spPr bwMode="auto">
                              <a:xfrm>
                                <a:off x="0" y="0"/>
                                <a:ext cx="1168400"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0288;o:allowoverlap:true;o:allowincell:true;mso-position-horizontal-relative:text;margin-left:10.8pt;mso-position-horizontal:absolute;mso-position-vertical-relative:text;margin-top:22.1pt;mso-position-vertical:absolute;width:92.0pt;height:55.4pt;mso-wrap-distance-left:9.0pt;mso-wrap-distance-top:0.0pt;mso-wrap-distance-right:9.0pt;mso-wrap-distance-bottom:0.0pt;" stroked="f">
                      <v:path textboxrect="0,0,0,0"/>
                      <v:imagedata r:id="rId4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2569.015</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冷喷，基层清理干净</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横向减速线(震荡标线)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315595</wp:posOffset>
                      </wp:positionH>
                      <wp:positionV relativeFrom="paragraph">
                        <wp:posOffset>100330</wp:posOffset>
                      </wp:positionV>
                      <wp:extent cx="913765" cy="587375"/>
                      <wp:effectExtent l="0" t="0" r="635" b="3175"/>
                      <wp:wrapNone/>
                      <wp:docPr id="93" name="图片_23"/>
                      <wp:cNvGraphicFramePr/>
                      <a:graphic xmlns:a="http://schemas.openxmlformats.org/drawingml/2006/main">
                        <a:graphicData uri="http://schemas.openxmlformats.org/drawingml/2006/picture">
                          <pic:pic xmlns:pic="http://schemas.openxmlformats.org/drawingml/2006/picture">
                            <pic:nvPicPr>
                              <pic:cNvPr id="123" name="图片_23"/>
                              <pic:cNvPicPr/>
                              <pic:nvPr/>
                            </pic:nvPicPr>
                            <pic:blipFill>
                              <a:blip r:embed="rId35"/>
                              <a:stretch/>
                            </pic:blipFill>
                            <pic:spPr bwMode="auto">
                              <a:xfrm>
                                <a:off x="0" y="0"/>
                                <a:ext cx="913765" cy="58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0288;o:allowoverlap:true;o:allowincell:true;mso-position-horizontal-relative:text;margin-left:24.8pt;mso-position-horizontal:absolute;mso-position-vertical-relative:text;margin-top:7.9pt;mso-position-vertical:absolute;width:72.0pt;height:46.2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1、热熔反光型标线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2、厚度1.8mm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3、反光玻化微珠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4、基层处理</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1、标线清除方式由投标人自行考虑，不限于机械清除、高压水枪清除、火除法等；</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2、清扫现场、垃圾外运。</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文字模型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wp:posOffset>
                      </wp:positionH>
                      <wp:positionV relativeFrom="paragraph">
                        <wp:posOffset>59690</wp:posOffset>
                      </wp:positionV>
                      <wp:extent cx="875030" cy="646430"/>
                      <wp:effectExtent l="0" t="0" r="1270" b="1270"/>
                      <wp:wrapNone/>
                      <wp:docPr id="94" name="图片_24"/>
                      <wp:cNvGraphicFramePr/>
                      <a:graphic xmlns:a="http://schemas.openxmlformats.org/drawingml/2006/main">
                        <a:graphicData uri="http://schemas.openxmlformats.org/drawingml/2006/picture">
                          <pic:pic xmlns:pic="http://schemas.openxmlformats.org/drawingml/2006/picture">
                            <pic:nvPicPr>
                              <pic:cNvPr id="124" name="图片_24"/>
                              <pic:cNvPicPr/>
                              <pic:nvPr/>
                            </pic:nvPicPr>
                            <pic:blipFill>
                              <a:blip r:embed="rId46"/>
                              <a:stretch/>
                            </pic:blipFill>
                            <pic:spPr bwMode="auto">
                              <a:xfrm>
                                <a:off x="0" y="0"/>
                                <a:ext cx="875030"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0288;o:allowoverlap:true;o:allowincell:true;mso-position-horizontal-relative:text;margin-left:22.1pt;mso-position-horizontal:absolute;mso-position-vertical-relative:text;margin-top:4.7pt;mso-position-vertical:absolute;width:68.9pt;height:50.9pt;mso-wrap-distance-left:9.0pt;mso-wrap-distance-top:0.0pt;mso-wrap-distance-right:9.0pt;mso-wrap-distance-bottom:0.0pt;" stroked="f">
                      <v:path textboxrect="0,0,0,0"/>
                      <v:imagedata r:id="rId4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w:t>
            </w:r>
            <w:r>
              <w:rPr>
                <w:rFonts w:hint="eastAsia" w:ascii="仿宋" w:hAnsi="仿宋" w:eastAsia="仿宋" w:cs="仿宋"/>
                <w:i w:val="0"/>
                <w:iCs w:val="0"/>
                <w:color w:val="000000"/>
                <w:sz w:val="17"/>
                <w:szCs w:val="17"/>
                <w:u w:val="none"/>
                <w:vertAlign w:val="superscript"/>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1、计量规则：以长、宽最大外接矩形面积计算；</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2、热熔反光型标线。</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四、宣传标牌等广告用品采购项目</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黑白打印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3、黑白打印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彩色纸打印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2、克重：80G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3、彩色纸张</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2、克重：157G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3、双光铜版纸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4、含装订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白卡纸胶装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2、克重：240G 加大封面金丝白卡纸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皮纹纸胶装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2、克重：220G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3、皮纹纸横向胶装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铜版纸打印</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包含封面打印及胶装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3、打钉或穿孔线装、横向胶装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4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项目文本铜版纸加急圈装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1、A3胶片圈装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项目文本铜版纸精装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1、规格：A3，加大封面铜版纸</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2、克重：250G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3、打钉或穿线、胶装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项目手持图稿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1、规格：特大号</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2、高清防水彩印，内容根据采购人要求印制。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项目效果图手持展板</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2、高清户外写真+KT板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3、黑色软包边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软布效果图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2、超高清户外写真软布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1、规格：A4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1、规格：A3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1、规格：A2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1、规格：A1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项目蓝图</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打印复印</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1、规格：A0    </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2、80G蓝图激光专用纸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管网展板</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1、高清户外写真+KT板，规格100*140cm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2、含灰色包边费用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交通护栏宣传广告制作安装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加厚户外黑白喷绘布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交通悬空指示牌背面宣传广告制作安装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2、所有更换的公益广告及框架需在地面成套制作完成后再安装。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3、含吊车使用费；</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4、本项因白天交通安全问题，必须夜间突击安装，相关增加的费用由报价人综合考虑在报价单价内。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框架焊接</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1、国标热镀锌方管焊接，规格不得小于25*25*1.5mm，间距不大于1m，符合高空安全使用要求。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贴纸制作安装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1、户外高清车贴裱膜制作安装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宣传广告</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KT板制作安装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1、写真裱板制作安装，内容根据采购人要求印制；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宣传条幅</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1、横幅布穿竹安装（8米）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胸牌工作证</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1、胶皮外壳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2、内页：180G白卡纸双面彩印内页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3、规格：8*12cm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4、配套挂绳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制度牌</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设计制作安装</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1、材质：开启式铝合金框、PVC透明片（60*90cm）；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2、高精写真内页（内容根据采购人要求印制）。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不锈钢大戗牌租用</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1、尺寸：3.5*2.3米</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2、材质：不锈钢</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3、包含运输，安装费用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亚克力桌牌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1、材质：水晶亚克力磁吸桌牌含内页</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2、规格：25*13cm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3、内页内容根据采购人要求印制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纸质三角桌牌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1、250G铜版纸印制压痕</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2、加双面胶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3、印制内容据采购人要求印制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彩旗</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1、工地彩旗：60*110cm</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2、立杆：竹竿，高度250cm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6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科室牌</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1、材质：铝制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2、规格：28*12cm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喷绘</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left"/>
              <w:rPr>
                <w:rFonts w:hint="eastAsia" w:ascii="仿宋" w:hAnsi="仿宋" w:eastAsia="仿宋" w:cs="仿宋"/>
                <w:b/>
                <w:bCs/>
                <w:i w:val="0"/>
                <w:iCs w:val="0"/>
                <w:color w:val="000000"/>
                <w:sz w:val="17"/>
                <w:szCs w:val="17"/>
                <w:u w:val="none"/>
              </w:rPr>
            </w:pPr>
            <w:r>
              <w:rPr>
                <w:rFonts w:hint="eastAsia" w:ascii="仿宋" w:hAnsi="仿宋" w:eastAsia="仿宋" w:cs="仿宋"/>
                <w:b/>
                <w:bCs/>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1、户外喷绘制作及安装，内容根据采购人要求印制；</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2、厚度，克重符合招标人要求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3、规格及固定区域设置双层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4、质保期：2年</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5、拆除费用由投标人自行考虑，结算时不再增加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7"/>
            <w:shd w:val="clear" w:color="auto" w:fill="fce4d6"/>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五、其 他</w:t>
            </w:r>
            <w:r/>
          </w:p>
        </w:tc>
        <w:tc>
          <w:tcPr>
            <w:shd w:val="clear" w:color="auto" w:fill="fce4d6"/>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45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jc w:val="left"/>
              <w:keepLines w:val="0"/>
              <w:keepNext w:val="0"/>
              <w:widowControl/>
              <w:rPr>
                <w:rFonts w:hint="eastAsia" w:ascii="仿宋" w:hAnsi="仿宋" w:eastAsia="仿宋" w:cs="仿宋"/>
                <w:i w:val="0"/>
                <w:iCs w:val="0"/>
                <w:color w:val="000000"/>
                <w:sz w:val="17"/>
                <w:szCs w:val="17"/>
                <w:u w:val="none"/>
              </w:rPr>
              <w:suppressLineNumbers w:val="0"/>
            </w:pPr>
            <w:r>
              <w:rPr>
                <w:rFonts w:hint="eastAsia" w:ascii="仿宋" w:hAnsi="仿宋" w:eastAsia="仿宋" w:cs="仿宋"/>
                <w:i w:val="0"/>
                <w:iCs w:val="0"/>
                <w:color w:val="000000"/>
                <w:sz w:val="17"/>
                <w:szCs w:val="17"/>
                <w:u w:val="none"/>
                <w:lang w:val="en-US" w:eastAsia="zh-CN" w:bidi="ar"/>
              </w:rPr>
              <w:t xml:space="preserve">1、本项目施工前，中标单位需提供设具体建设地点、有资质的设计单位出具并盖章的设计图纸及效果图，经建设单位及公安交警部门确认同意后方可施工；</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2、根据现场实际情况进行锯缝、破除混凝土、挖土、拆除相关障碍物、废碴外运等，由投标人综合考虑此部分费用；</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2、成套信号灯含所有硬件、软件、网络、电子警察、电源等一切建设费用；该信号灯接至公安交警指挥平台，并满足公安交警部门使用要求；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3、本交通信号按一个路口为1项，信号灯应满足各个方向的使用要求；</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4、此项5年之内的维保费用由投标人报价时结合自身实力综合考虑；</w:t>
            </w:r>
            <w:r>
              <w:rPr>
                <w:rFonts w:hint="eastAsia" w:ascii="仿宋" w:hAnsi="仿宋" w:eastAsia="仿宋" w:cs="仿宋"/>
                <w:i w:val="0"/>
                <w:iCs w:val="0"/>
                <w:color w:val="000000"/>
                <w:sz w:val="17"/>
                <w:szCs w:val="17"/>
                <w:u w:val="none"/>
                <w:lang w:val="en-US" w:eastAsia="zh-CN" w:bidi="ar"/>
              </w:rPr>
              <w:br/>
            </w:r>
            <w:r>
              <w:rPr>
                <w:rFonts w:hint="eastAsia" w:ascii="仿宋" w:hAnsi="仿宋" w:eastAsia="仿宋" w:cs="仿宋"/>
                <w:i w:val="0"/>
                <w:iCs w:val="0"/>
                <w:color w:val="000000"/>
                <w:sz w:val="17"/>
                <w:szCs w:val="17"/>
                <w:u w:val="none"/>
                <w:lang w:val="en-US" w:eastAsia="zh-CN" w:bidi="ar"/>
              </w:rPr>
              <w:t xml:space="preserve">5、具体实施位置根据建设方交办单实施。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500"/>
        </w:trPr>
        <w:tc>
          <w:tcPr>
            <w:gridSpan w:val="2"/>
            <w:shd w:val="clear" w:color="auto" w:fill="fce4d6"/>
            <w:tcBorders>
              <w:top w:val="single" w:color="000000" w:sz="4" w:space="0"/>
              <w:left w:val="single" w:color="000000" w:sz="8" w:space="0"/>
              <w:bottom w:val="single" w:color="000000" w:sz="8" w:space="0"/>
              <w:right w:val="single" w:color="000000" w:sz="4" w:space="0"/>
            </w:tcBorders>
            <w:tcW w:w="0" w:type="auto"/>
            <w:vAlign w:val="center"/>
            <w:textDirection w:val="lrTb"/>
            <w:noWrap/>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六、合计</w:t>
            </w:r>
            <w:r/>
          </w:p>
        </w:tc>
        <w:tc>
          <w:tcPr>
            <w:gridSpan w:val="5"/>
            <w:shd w:val="clear" w:color="auto" w:fill="fce4d6"/>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一+二+三+四+五</w:t>
            </w:r>
            <w:r/>
          </w:p>
        </w:tc>
        <w:tc>
          <w:tcPr>
            <w:shd w:val="clear" w:color="auto" w:fill="fce4d6"/>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jc w:val="center"/>
              <w:rPr>
                <w:rFonts w:hint="eastAsia" w:ascii="仿宋" w:hAnsi="仿宋" w:eastAsia="仿宋" w:cs="仿宋"/>
                <w:b/>
                <w:bCs/>
                <w:i w:val="0"/>
                <w:iCs w:val="0"/>
                <w:color w:val="000000"/>
                <w:sz w:val="19"/>
                <w:szCs w:val="19"/>
                <w:u w:val="none"/>
              </w:rPr>
            </w:pPr>
            <w:r>
              <w:rPr>
                <w:rFonts w:hint="eastAsia" w:ascii="仿宋" w:hAnsi="仿宋" w:eastAsia="仿宋" w:cs="仿宋"/>
                <w:b/>
                <w:bCs/>
                <w:i w:val="0"/>
                <w:iCs w:val="0"/>
                <w:color w:val="000000"/>
                <w:sz w:val="19"/>
                <w:szCs w:val="19"/>
                <w:u w:val="none"/>
              </w:rPr>
            </w:r>
            <w:r/>
          </w:p>
        </w:tc>
      </w:tr>
      <w:tr>
        <w:trPr>
          <w:jc w:val="center"/>
          <w:trHeight w:val="24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1239" w:type="dxa"/>
            <w:vAlign w:val="center"/>
            <w:textDirection w:val="lrTb"/>
            <w:noWrap w:val="false"/>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000000"/>
                <w:sz w:val="17"/>
                <w:szCs w:val="17"/>
                <w:u w:val="none"/>
              </w:rPr>
            </w:pPr>
            <w:r>
              <w:rPr>
                <w:rFonts w:hint="eastAsia" w:ascii="仿宋" w:hAnsi="仿宋" w:eastAsia="仿宋" w:cs="仿宋"/>
                <w:i w:val="0"/>
                <w:iCs w:val="0"/>
                <w:color w:val="000000"/>
                <w:sz w:val="17"/>
                <w:szCs w:val="17"/>
                <w:u w:val="none"/>
              </w:rPr>
            </w:r>
            <w:r/>
          </w:p>
        </w:tc>
      </w:tr>
      <w:tr>
        <w:trPr>
          <w:jc w:val="center"/>
          <w:trHeight w:val="2620"/>
        </w:trPr>
        <w:tc>
          <w:tcPr>
            <w:gridSpan w:val="8"/>
            <w:shd w:val="clear" w:color="auto" w:fill="auto"/>
            <w:tcBorders>
              <w:top w:val="none" w:color="000000" w:sz="4" w:space="0"/>
              <w:left w:val="none" w:color="000000" w:sz="4" w:space="0"/>
              <w:bottom w:val="none" w:color="000000" w:sz="4" w:space="0"/>
              <w:right w:val="none" w:color="000000" w:sz="4" w:space="0"/>
            </w:tcBorders>
            <w:tcW w:w="10217" w:type="dxa"/>
            <w:vAlign w:val="center"/>
            <w:textDirection w:val="lrTb"/>
            <w:noWrap w:val="false"/>
          </w:tcPr>
          <w:p>
            <w:pPr>
              <w:jc w:val="left"/>
              <w:keepLines w:val="0"/>
              <w:keepNext w:val="0"/>
              <w:widowControl/>
              <w:rPr>
                <w:rFonts w:hint="eastAsia" w:ascii="仿宋" w:hAnsi="仿宋" w:eastAsia="仿宋" w:cs="仿宋"/>
                <w:b/>
                <w:bCs/>
                <w:i w:val="0"/>
                <w:iCs w:val="0"/>
                <w:color w:val="000000"/>
                <w:sz w:val="19"/>
                <w:szCs w:val="19"/>
                <w:u w:val="none"/>
              </w:rPr>
              <w:suppressLineNumbers w:val="0"/>
            </w:pPr>
            <w:r>
              <w:rPr>
                <w:rFonts w:hint="eastAsia" w:ascii="仿宋" w:hAnsi="仿宋" w:eastAsia="仿宋" w:cs="仿宋"/>
                <w:b/>
                <w:bCs/>
                <w:i w:val="0"/>
                <w:iCs w:val="0"/>
                <w:color w:val="000000"/>
                <w:sz w:val="19"/>
                <w:szCs w:val="19"/>
                <w:u w:val="none"/>
                <w:lang w:val="en-US" w:eastAsia="zh-CN" w:bidi="ar"/>
              </w:rPr>
              <w:t xml:space="preserve">注 : </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1、本工程采用全费用综合单价：包含人工、材料、机械、管理费、利润、其他相关的措施费、风 险费、规费及税金等完成工作内容的全部费用。投标人需要综合考虑本项目的项目特征、不能连续作  业、行车/行人带来的干扰等实际可能影响报价的因素。</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2、清单中“建设方指定地点 ”为大丰住建局南侧仓库；</w:t>
            </w:r>
            <w:r>
              <w:rPr>
                <w:rFonts w:hint="eastAsia" w:ascii="仿宋" w:hAnsi="仿宋" w:eastAsia="仿宋" w:cs="仿宋"/>
                <w:b/>
                <w:bCs/>
                <w:i w:val="0"/>
                <w:iCs w:val="0"/>
                <w:color w:val="000000"/>
                <w:sz w:val="19"/>
                <w:szCs w:val="19"/>
                <w:u w:val="none"/>
                <w:lang w:val="en-US" w:eastAsia="zh-CN" w:bidi="ar"/>
              </w:rPr>
              <w:br/>
            </w:r>
            <w:r>
              <w:rPr>
                <w:rFonts w:hint="eastAsia" w:ascii="仿宋" w:hAnsi="仿宋" w:eastAsia="仿宋" w:cs="仿宋"/>
                <w:b/>
                <w:bCs/>
                <w:i w:val="0"/>
                <w:iCs w:val="0"/>
                <w:color w:val="000000"/>
                <w:sz w:val="19"/>
                <w:szCs w:val="19"/>
                <w:u w:val="none"/>
                <w:lang w:val="en-US" w:eastAsia="zh-CN" w:bidi="ar"/>
              </w:rPr>
              <w:t xml:space="preserve">3、巡查费用由投标人在总价中综合考虑，每日1次的巡查并填写巡查点位表，每旬提供现场水印照片。</w:t>
            </w:r>
            <w:r/>
          </w:p>
        </w:tc>
      </w:tr>
    </w:tbl>
    <w:p>
      <w:pPr>
        <w:ind w:right="-275"/>
        <w:jc w:val="center"/>
        <w:spacing w:before="50" w:after="50"/>
        <w:rPr>
          <w:rFonts w:hint="eastAsia" w:asciiTheme="majorEastAsia" w:hAnsiTheme="majorEastAsia" w:eastAsiaTheme="majorEastAsia"/>
          <w:b/>
          <w:bCs/>
          <w:color w:val="000000" w:themeColor="text1"/>
          <w:sz w:val="21"/>
          <w:szCs w:val="21"/>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十三、</w:t>
      </w:r>
      <w:r>
        <w:rPr>
          <w:rFonts w:hint="eastAsia" w:asciiTheme="majorEastAsia" w:hAnsiTheme="majorEastAsia" w:eastAsiaTheme="majorEastAsia"/>
          <w:b/>
          <w:bCs/>
          <w:color w:val="000000" w:themeColor="text1"/>
          <w:sz w:val="21"/>
          <w:szCs w:val="21"/>
          <w14:textFill>
            <w14:solidFill>
              <w14:schemeClr w14:val="tx1"/>
            </w14:solidFill>
          </w14:textFill>
        </w:rPr>
        <w:t xml:space="preserve">技术参数响应及偏离表（</w:t>
      </w: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分包号：**</w:t>
      </w:r>
      <w:r>
        <w:rPr>
          <w:rFonts w:hint="eastAsia" w:asciiTheme="majorEastAsia" w:hAnsiTheme="majorEastAsia" w:eastAsiaTheme="majorEastAsia"/>
          <w:b/>
          <w:bCs/>
          <w:color w:val="000000" w:themeColor="text1"/>
          <w:sz w:val="21"/>
          <w:szCs w:val="21"/>
          <w14:textFill>
            <w14:solidFill>
              <w14:schemeClr w14:val="tx1"/>
            </w14:solidFill>
          </w14:textFill>
        </w:rPr>
        <w:t xml:space="preserve">）</w:t>
      </w:r>
      <w:r/>
    </w:p>
    <w:p>
      <w:pPr>
        <w:ind w:right="-275"/>
        <w:jc w:val="center"/>
        <w:spacing w:before="50" w:after="50"/>
        <w:rPr>
          <w:rFonts w:hint="eastAsia" w:asciiTheme="majorEastAsia" w:hAnsiTheme="majorEastAsia" w:eastAsiaTheme="majorEastAsia"/>
          <w:b/>
          <w:bCs/>
          <w:color w:val="000000" w:themeColor="text1"/>
          <w:sz w:val="21"/>
          <w:szCs w:val="21"/>
          <w14:textFill>
            <w14:solidFill>
              <w14:schemeClr w14:val="tx1"/>
            </w14:solidFill>
          </w14:textFill>
        </w:rPr>
      </w:pPr>
      <w:r>
        <w:rPr>
          <w:rFonts w:hint="eastAsia" w:asciiTheme="majorEastAsia" w:hAnsiTheme="majorEastAsia" w:eastAsiaTheme="majorEastAsia"/>
          <w:b/>
          <w:bCs/>
          <w:color w:val="000000" w:themeColor="text1"/>
          <w:sz w:val="21"/>
          <w:szCs w:val="21"/>
          <w14:textFill>
            <w14:solidFill>
              <w14:schemeClr w14:val="tx1"/>
            </w14:solidFill>
          </w14:textFill>
        </w:rPr>
      </w:r>
      <w:r/>
    </w:p>
    <w:tbl>
      <w:tblPr>
        <w:tblStyle w:val="6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12"/>
        <w:gridCol w:w="2439"/>
        <w:gridCol w:w="2161"/>
        <w:gridCol w:w="1173"/>
      </w:tblGrid>
      <w:tr>
        <w:trPr>
          <w:cantSplit/>
          <w:trHeight w:val="567"/>
        </w:trPr>
        <w:tc>
          <w:tcPr>
            <w:tcW w:w="984" w:type="dxa"/>
            <w:vAlign w:val="center"/>
            <w:textDirection w:val="lrTb"/>
            <w:noWrap w:val="false"/>
          </w:tcPr>
          <w:p>
            <w:pPr>
              <w:ind w:right="-275"/>
              <w:jc w:val="lef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序号</w:t>
            </w:r>
            <w:r/>
          </w:p>
        </w:tc>
        <w:tc>
          <w:tcPr>
            <w:tcW w:w="2412" w:type="dxa"/>
            <w:vAlign w:val="center"/>
            <w:textDirection w:val="lrTb"/>
            <w:noWrap w:val="false"/>
          </w:tcPr>
          <w:p>
            <w:pPr>
              <w:ind w:right="-275"/>
              <w:jc w:val="lef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招标要求</w:t>
            </w:r>
            <w:r/>
          </w:p>
        </w:tc>
        <w:tc>
          <w:tcPr>
            <w:tcW w:w="2439" w:type="dxa"/>
            <w:vAlign w:val="center"/>
            <w:textDirection w:val="lrTb"/>
            <w:noWrap w:val="false"/>
          </w:tcPr>
          <w:p>
            <w:pPr>
              <w:ind w:right="-275"/>
              <w:jc w:val="left"/>
              <w:rPr>
                <w:rFonts w:hint="eastAsia"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投标响应</w:t>
            </w: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情况</w:t>
            </w:r>
            <w:r/>
          </w:p>
        </w:tc>
        <w:tc>
          <w:tcPr>
            <w:tcW w:w="2161" w:type="dxa"/>
            <w:vAlign w:val="center"/>
            <w:textDirection w:val="lrTb"/>
            <w:noWrap w:val="false"/>
          </w:tcPr>
          <w:p>
            <w:pPr>
              <w:ind w:right="-275"/>
              <w:jc w:val="left"/>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超出、符合或偏离</w:t>
            </w:r>
            <w:r/>
          </w:p>
        </w:tc>
        <w:tc>
          <w:tcPr>
            <w:tcW w:w="1173" w:type="dxa"/>
            <w:vAlign w:val="center"/>
            <w:textDirection w:val="lrTb"/>
            <w:noWrap w:val="false"/>
          </w:tcPr>
          <w:p>
            <w:pPr>
              <w:ind w:right="-275"/>
              <w:jc w:val="left"/>
              <w:rPr>
                <w:rFonts w:hint="default" w:asciiTheme="majorEastAsia" w:hAnsiTheme="majorEastAsia" w:eastAsia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olor w:val="000000" w:themeColor="text1"/>
                <w:sz w:val="21"/>
                <w:szCs w:val="21"/>
                <w:lang w:val="en-US" w:eastAsia="zh-CN"/>
                <w14:textFill>
                  <w14:solidFill>
                    <w14:schemeClr w14:val="tx1"/>
                  </w14:solidFill>
                </w14:textFill>
              </w:rPr>
              <w:t xml:space="preserve">证明材料</w:t>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cantSplit/>
          <w:trHeight w:val="567"/>
        </w:trPr>
        <w:tc>
          <w:tcPr>
            <w:tcW w:w="984"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12"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439"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2161"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W w:w="1173" w:type="dxa"/>
            <w:textDirection w:val="lrTb"/>
            <w:noWrap w:val="false"/>
          </w:tcPr>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bl>
    <w:p>
      <w:pPr>
        <w:pStyle w:val="707"/>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注：行数不够，可自行添加。</w:t>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center"/>
        <w:rPr>
          <w:rFonts w:asciiTheme="majorEastAsia" w:hAnsiTheme="majorEastAsia" w:eastAsiaTheme="majorEastAsia"/>
          <w:b/>
          <w:color w:val="000000" w:themeColor="text1"/>
          <w:sz w:val="21"/>
          <w:szCs w:val="21"/>
          <w14:textFill>
            <w14:solidFill>
              <w14:schemeClr w14:val="tx1"/>
            </w14:solidFill>
          </w14:textFill>
        </w:rPr>
      </w:pPr>
      <w:r>
        <w:rPr>
          <w:rFonts w:asciiTheme="majorEastAsia" w:hAnsiTheme="majorEastAsia" w:eastAsiaTheme="majorEastAsia"/>
          <w:b/>
          <w:color w:val="000000" w:themeColor="text1"/>
          <w:sz w:val="21"/>
          <w:szCs w:val="21"/>
          <w14:textFill>
            <w14:solidFill>
              <w14:schemeClr w14:val="tx1"/>
            </w14:solidFill>
          </w14:textFill>
        </w:rPr>
      </w:r>
      <w:r/>
    </w:p>
    <w:p>
      <w:pPr>
        <w:pStyle w:val="699"/>
        <w:ind w:left="1470" w:right="1470"/>
        <w:rPr>
          <w:rFonts w:asciiTheme="majorEastAsia" w:hAnsiTheme="majorEastAsia" w:eastAsiaTheme="majorEastAsia"/>
          <w:b/>
          <w:color w:val="000000" w:themeColor="text1"/>
          <w:sz w:val="21"/>
          <w:szCs w:val="21"/>
          <w14:textFill>
            <w14:solidFill>
              <w14:schemeClr w14:val="tx1"/>
            </w14:solidFill>
          </w14:textFill>
        </w:rPr>
      </w:pPr>
      <w:r>
        <w:rPr>
          <w:rFonts w:asciiTheme="majorEastAsia" w:hAnsiTheme="majorEastAsia" w:eastAsiaTheme="majorEastAsia"/>
          <w:b/>
          <w:color w:val="000000" w:themeColor="text1"/>
          <w:sz w:val="21"/>
          <w:szCs w:val="21"/>
          <w14:textFill>
            <w14:solidFill>
              <w14:schemeClr w14:val="tx1"/>
            </w14:solidFill>
          </w14:textFill>
        </w:rPr>
      </w:r>
      <w:r/>
    </w:p>
    <w:p>
      <w:pPr>
        <w:pStyle w:val="699"/>
        <w:ind w:left="1470" w:right="1470"/>
        <w:rPr>
          <w:rFonts w:asciiTheme="majorEastAsia" w:hAnsiTheme="majorEastAsia" w:eastAsiaTheme="majorEastAsia"/>
          <w:b/>
          <w:color w:val="000000" w:themeColor="text1"/>
          <w:sz w:val="21"/>
          <w:szCs w:val="21"/>
          <w14:textFill>
            <w14:solidFill>
              <w14:schemeClr w14:val="tx1"/>
            </w14:solidFill>
          </w14:textFill>
        </w:rPr>
      </w:pPr>
      <w:r>
        <w:rPr>
          <w:rFonts w:asciiTheme="majorEastAsia" w:hAnsiTheme="majorEastAsia" w:eastAsiaTheme="majorEastAsia"/>
          <w:b/>
          <w:color w:val="000000" w:themeColor="text1"/>
          <w:sz w:val="21"/>
          <w:szCs w:val="21"/>
          <w14:textFill>
            <w14:solidFill>
              <w14:schemeClr w14:val="tx1"/>
            </w14:solidFill>
          </w14:textFill>
        </w:rPr>
      </w:r>
      <w:r/>
    </w:p>
    <w:p>
      <w:pPr>
        <w:pStyle w:val="699"/>
        <w:ind w:left="1470"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bookmarkEnd w:id="189"/>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bookmarkStart w:id="190" w:name="_Hlt26955054"/>
      <w:r/>
      <w:bookmarkEnd w:id="190"/>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jc w:val="center"/>
        <w:spacing w:before="50" w:after="50"/>
        <w:rPr>
          <w:rFonts w:asciiTheme="majorEastAsia" w:hAnsiTheme="majorEastAsia" w:eastAsiaTheme="majorEastAsia"/>
          <w:b/>
          <w:bCs/>
          <w:color w:val="000000" w:themeColor="text1"/>
          <w:sz w:val="21"/>
          <w:szCs w:val="21"/>
          <w14:textFill>
            <w14:solidFill>
              <w14:schemeClr w14:val="tx1"/>
            </w14:solidFill>
          </w14:textFill>
        </w:rPr>
      </w:pP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十四、</w:t>
      </w:r>
      <w:r>
        <w:rPr>
          <w:rFonts w:hint="eastAsia" w:asciiTheme="majorEastAsia" w:hAnsiTheme="majorEastAsia" w:eastAsiaTheme="majorEastAsia"/>
          <w:b/>
          <w:bCs/>
          <w:color w:val="000000" w:themeColor="text1"/>
          <w:sz w:val="21"/>
          <w:szCs w:val="21"/>
          <w14:textFill>
            <w14:solidFill>
              <w14:schemeClr w14:val="tx1"/>
            </w14:solidFill>
          </w14:textFill>
        </w:rPr>
        <w:t xml:space="preserve">商务条款响应及偏离表（</w:t>
      </w:r>
      <w:r>
        <w:rPr>
          <w:rFonts w:hint="eastAsia" w:asciiTheme="majorEastAsia" w:hAnsiTheme="majorEastAsia" w:eastAsiaTheme="majorEastAsia"/>
          <w:b/>
          <w:bCs/>
          <w:color w:val="000000" w:themeColor="text1"/>
          <w:sz w:val="21"/>
          <w:szCs w:val="21"/>
          <w:lang w:val="en-US" w:eastAsia="zh-CN"/>
          <w14:textFill>
            <w14:solidFill>
              <w14:schemeClr w14:val="tx1"/>
            </w14:solidFill>
          </w14:textFill>
        </w:rPr>
        <w:t xml:space="preserve">分包号：**</w:t>
      </w:r>
      <w:r>
        <w:rPr>
          <w:rFonts w:hint="eastAsia" w:asciiTheme="majorEastAsia" w:hAnsiTheme="majorEastAsia" w:eastAsiaTheme="majorEastAsia"/>
          <w:b/>
          <w:bCs/>
          <w:color w:val="000000" w:themeColor="text1"/>
          <w:sz w:val="21"/>
          <w:szCs w:val="21"/>
          <w14:textFill>
            <w14:solidFill>
              <w14:schemeClr w14:val="tx1"/>
            </w14:solidFill>
          </w14:textFill>
        </w:rPr>
        <w:t xml:space="preserve">）</w:t>
      </w:r>
      <w:r/>
    </w:p>
    <w:p>
      <w:pPr>
        <w:ind w:right="-275"/>
        <w:jc w:val="center"/>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rPr>
          <w:rFonts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       </w:t>
      </w:r>
      <w:r/>
    </w:p>
    <w:tbl>
      <w:tblPr>
        <w:tblStyle w:val="69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5"/>
        <w:gridCol w:w="2353"/>
        <w:gridCol w:w="1511"/>
        <w:gridCol w:w="3052"/>
      </w:tblGrid>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pStyle w:val="707"/>
              <w:ind w:left="0" w:right="0" w:firstLine="0"/>
              <w:jc w:val="left"/>
              <w:pageBreakBefore w:val="0"/>
              <w:spacing w:beforeAutospacing="0" w:afterAutospacing="0"/>
              <w:shd w:val="clear" w:color="auto"/>
              <w:rPr>
                <w:rFonts w:asciiTheme="majorEastAsia" w:hAnsiTheme="majorEastAsia" w:eastAsiaTheme="majorEastAsia"/>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53" w:type="dxa"/>
            <w:vAlign w:val="center"/>
            <w:textDirection w:val="lrTb"/>
            <w:noWrap w:val="false"/>
          </w:tcPr>
          <w:p>
            <w:pPr>
              <w:pStyle w:val="707"/>
              <w:ind w:left="0" w:right="0" w:firstLine="0"/>
              <w:jc w:val="left"/>
              <w:pageBreakBefore w:val="0"/>
              <w:spacing w:beforeAutospacing="0" w:afterAutospacing="0"/>
              <w:shd w:val="clear" w:color="auto"/>
              <w:rPr>
                <w:rFonts w:asciiTheme="majorEastAsia" w:hAnsiTheme="majorEastAsia" w:eastAsiaTheme="majorEastAsia"/>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pStyle w:val="707"/>
              <w:ind w:left="0" w:right="0" w:firstLine="0"/>
              <w:jc w:val="left"/>
              <w:pageBreakBefore w:val="0"/>
              <w:spacing w:beforeAutospacing="0" w:afterAutospacing="0"/>
              <w:shd w:val="clear" w:color="auto"/>
              <w:rPr>
                <w:rFonts w:asciiTheme="majorEastAsia" w:hAnsiTheme="majorEastAsia" w:eastAsiaTheme="majorEastAsia"/>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投标响应情况</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pStyle w:val="707"/>
              <w:ind w:left="0" w:right="0" w:firstLine="0"/>
              <w:jc w:val="left"/>
              <w:pageBreakBefore w:val="0"/>
              <w:spacing w:beforeAutospacing="0" w:afterAutospacing="0"/>
              <w:shd w:val="clear" w:color="auto"/>
              <w:rPr>
                <w:rFonts w:asciiTheme="majorEastAsia" w:hAnsiTheme="majorEastAsia" w:eastAsiaTheme="majorEastAsia"/>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超出、符合或偏离</w:t>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left="43"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left="43"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left="43"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left="43"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left="43"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left="43"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hint="default" w:asciiTheme="majorEastAsia" w:hAnsiTheme="majorEastAsia" w:eastAsiaTheme="majorEastAsia"/>
                <w:color w:val="000000" w:themeColor="text1"/>
                <w:sz w:val="21"/>
                <w:szCs w:val="21"/>
                <w:lang w:val="en-US" w:eastAsia="zh-CN"/>
                <w14:textFill>
                  <w14:solidFill>
                    <w14:schemeClr w14:val="tx1"/>
                  </w14:solidFill>
                </w14:textFill>
              </w:rPr>
            </w:pPr>
            <w:r>
              <w:rPr>
                <w:rFonts w:hint="default" w:asciiTheme="majorEastAsia" w:hAnsiTheme="majorEastAsia" w:eastAsiaTheme="majorEastAsia"/>
                <w:color w:val="000000" w:themeColor="text1"/>
                <w:sz w:val="21"/>
                <w:szCs w:val="21"/>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3"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ind w:right="-275"/>
              <w:spacing w:before="14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tc>
      </w:tr>
    </w:tbl>
    <w:p>
      <w:pPr>
        <w:pStyle w:val="707"/>
        <w:ind w:left="0" w:right="0" w:firstLine="0"/>
        <w:jc w:val="both"/>
        <w:pageBreakBefore w:val="0"/>
        <w:spacing w:beforeAutospacing="0" w:afterAutospacing="0"/>
        <w:shd w:val="clear" w:color="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rPr>
          <w:rFonts w:hint="eastAsia" w:ascii="宋体" w:hAnsi="宋体" w:eastAsia="宋体" w:cs="宋体"/>
          <w:color w:val="000000" w:themeColor="text1"/>
          <w:highlight w:val="none"/>
          <w:lang w:val="en-US" w:eastAsia="zh-CN"/>
          <w14:textFill>
            <w14:solidFill>
              <w14:schemeClr w14:val="tx1"/>
            </w14:solidFill>
          </w14:textFill>
        </w:rPr>
        <w:t xml:space="preserve">出现超出或偏离时详细列明；全部符合无需填写，直接将上述表格上传即可。</w:t>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691"/>
        <w:ind w:right="-275"/>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bookmarkStart w:id="191" w:name="_Hlt26609391"/>
      <w:r/>
      <w:bookmarkEnd w:id="191"/>
      <w:r/>
      <w:bookmarkStart w:id="192" w:name="_Hlt24879081"/>
      <w:r/>
      <w:bookmarkEnd w:id="192"/>
      <w:r/>
      <w:bookmarkStart w:id="193" w:name="_Hlt26955056"/>
      <w:r/>
      <w:bookmarkEnd w:id="193"/>
      <w:r/>
      <w:bookmarkStart w:id="194" w:name="_Hlt26671343"/>
      <w:r/>
      <w:bookmarkEnd w:id="194"/>
      <w:r/>
      <w:bookmarkStart w:id="195" w:name="_Hlt26955064"/>
      <w:r/>
      <w:bookmarkEnd w:id="195"/>
      <w:r/>
      <w:bookmarkStart w:id="196" w:name="_Hlt26580838"/>
      <w:r/>
      <w:bookmarkEnd w:id="196"/>
      <w:r/>
      <w:bookmarkStart w:id="197" w:name="_Hlt26671372"/>
      <w:r/>
      <w:bookmarkEnd w:id="197"/>
      <w:r/>
      <w:bookmarkStart w:id="198" w:name="_Hlt26782999"/>
      <w:r/>
      <w:bookmarkEnd w:id="198"/>
      <w:r>
        <w:rPr>
          <w:rFonts w:hint="eastAsia" w:asciiTheme="majorEastAsia" w:hAnsiTheme="majorEastAsia" w:eastAsiaTheme="majorEastAsia"/>
          <w:color w:val="000000" w:themeColor="text1"/>
          <w:sz w:val="21"/>
          <w:szCs w:val="21"/>
          <w14:textFill>
            <w14:solidFill>
              <w14:schemeClr w14:val="tx1"/>
            </w14:solidFill>
          </w14:textFill>
        </w:rPr>
        <w:t xml:space="preserve">    </w:t>
      </w:r>
      <w:bookmarkStart w:id="199" w:name="_Hlt26671374"/>
      <w:r/>
      <w:bookmarkEnd w:id="199"/>
      <w:r/>
      <w:bookmarkStart w:id="200" w:name="_Hlt26955066"/>
      <w:r/>
      <w:bookmarkEnd w:id="200"/>
      <w:r/>
      <w:bookmarkStart w:id="201" w:name="_Hlt26609389"/>
      <w:r/>
      <w:bookmarkEnd w:id="201"/>
      <w:r/>
      <w:bookmarkStart w:id="202" w:name="_Toc462564146"/>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right="-275"/>
        <w:spacing w:line="48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pStyle w:val="691"/>
        <w:ind w:right="-275" w:firstLine="0"/>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707"/>
        <w:numPr>
          <w:ilvl w:val="0"/>
          <w:numId w:val="3"/>
        </w:numPr>
        <w:ind w:firstLine="480"/>
        <w:jc w:val="center"/>
        <w:spacing w:beforeAutospacing="0" w:afterAutospacing="0"/>
        <w:rPr>
          <w:rFonts w:hint="eastAsia" w:asciiTheme="majorEastAsia" w:hAnsiTheme="majorEastAsia" w:eastAsiaTheme="majorEastAsia"/>
          <w:b/>
          <w:bCs/>
          <w:color w:val="000000" w:themeColor="text1"/>
          <w:sz w:val="24"/>
          <w:szCs w:val="24"/>
          <w14:textFill>
            <w14:solidFill>
              <w14:schemeClr w14:val="tx1"/>
            </w14:solidFill>
          </w14:textFill>
        </w:rPr>
      </w:pPr>
      <w:r>
        <w:rPr>
          <w:rFonts w:hint="eastAsia" w:asciiTheme="majorEastAsia" w:hAnsiTheme="majorEastAsia" w:eastAsiaTheme="majorEastAsia"/>
          <w:b/>
          <w:bCs/>
          <w:color w:val="000000" w:themeColor="text1"/>
          <w:sz w:val="24"/>
          <w:szCs w:val="24"/>
          <w14:textFill>
            <w14:solidFill>
              <w14:schemeClr w14:val="tx1"/>
            </w14:solidFill>
          </w14:textFill>
        </w:rPr>
        <w:t xml:space="preserve">开标一览表</w:t>
      </w:r>
      <w:r/>
    </w:p>
    <w:p>
      <w:pPr>
        <w:pStyle w:val="707"/>
        <w:numPr>
          <w:ilvl w:val="0"/>
          <w:numId w:val="0"/>
        </w:numPr>
        <w:ind w:firstLine="480"/>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投标人全称（加盖CA电子签章）：</w:t>
      </w:r>
      <w:r/>
    </w:p>
    <w:p>
      <w:pPr>
        <w:pStyle w:val="707"/>
        <w:ind w:firstLine="480"/>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w:t>
      </w:r>
      <w:r/>
    </w:p>
    <w:p>
      <w:pPr>
        <w:pStyle w:val="707"/>
        <w:ind w:firstLine="480"/>
        <w:jc w:val="both"/>
        <w:spacing w:beforeAutospacing="0" w:afterAutospacing="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招标编号：</w:t>
      </w:r>
      <w:r/>
    </w:p>
    <w:p>
      <w:pPr>
        <w:pStyle w:val="707"/>
        <w:ind w:firstLine="480"/>
        <w:jc w:val="both"/>
        <w:spacing w:beforeAutospacing="0" w:afterAutospacing="0"/>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分包号:</w:t>
      </w:r>
      <w:r/>
    </w:p>
    <w:tbl>
      <w:tblPr>
        <w:tblStyle w:val="690"/>
        <w:tblW w:w="9077"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077"/>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077" w:type="dxa"/>
            <w:vAlign w:val="center"/>
            <w:textDirection w:val="lrTb"/>
            <w:noWrap w:val="false"/>
          </w:tcPr>
          <w:p>
            <w:pPr>
              <w:pStyle w:val="707"/>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077" w:type="dxa"/>
            <w:vAlign w:val="center"/>
            <w:textDirection w:val="lrTb"/>
            <w:noWrap w:val="false"/>
          </w:tcPr>
          <w:p>
            <w:pPr>
              <w:pStyle w:val="707"/>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小写：                           （人民币：元）</w:t>
            </w:r>
            <w:r/>
          </w:p>
        </w:tc>
      </w:tr>
    </w:tbl>
    <w:p>
      <w:pPr>
        <w:pStyle w:val="707"/>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07"/>
        <w:ind w:firstLine="480"/>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w:t>
      </w:r>
      <w:r/>
    </w:p>
    <w:p>
      <w:pPr>
        <w:ind w:right="-275"/>
        <w:jc w:val="center"/>
        <w:spacing w:before="50" w:after="50"/>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br w:type="page" w:clear="all"/>
      </w:r>
      <w:bookmarkEnd w:id="202"/>
      <w:r/>
      <w:bookmarkStart w:id="203" w:name="_格式2__法定代表人授权书"/>
      <w:r/>
      <w:bookmarkEnd w:id="203"/>
      <w:r/>
      <w:r/>
    </w:p>
    <w:p>
      <w:pPr>
        <w:ind w:left="0" w:right="0" w:firstLine="0"/>
        <w:jc w:val="center"/>
        <w:pageBreakBefore w:val="0"/>
        <w:shd w:val="clear" w:color="auto"/>
        <w:widowControl/>
        <w:rPr>
          <w:rFonts w:hint="eastAsia" w:ascii="宋体" w:hAnsi="宋体" w:eastAsia="宋体" w:cs="宋体"/>
          <w:b/>
          <w:bCs/>
          <w:color w:val="000000" w:themeColor="text1"/>
          <w:sz w:val="28"/>
          <w:szCs w:val="28"/>
          <w:highlight w:val="none"/>
          <w:u w:val="single"/>
          <w:lang w:eastAsia="zh-CN"/>
          <w14:textFill>
            <w14:solidFill>
              <w14:schemeClr w14:val="tx1"/>
            </w14:solidFill>
          </w14:textFill>
        </w:rPr>
      </w:pPr>
      <w:r>
        <w:rPr>
          <w:rFonts w:hint="eastAsia" w:ascii="宋体" w:hAnsi="宋体" w:eastAsia="宋体" w:cs="宋体"/>
          <w:b/>
          <w:bCs/>
          <w:color w:val="000000" w:themeColor="text1"/>
          <w:sz w:val="28"/>
          <w:szCs w:val="28"/>
          <w:highlight w:val="none"/>
          <w:u w:val="single"/>
          <w14:textFill>
            <w14:solidFill>
              <w14:schemeClr w14:val="tx1"/>
            </w14:solidFill>
          </w14:textFill>
        </w:rPr>
        <w:t xml:space="preserve">十六、</w:t>
      </w:r>
      <w:r>
        <w:rPr>
          <w:rFonts w:hint="eastAsia" w:ascii="宋体" w:hAnsi="宋体" w:eastAsia="宋体" w:cs="宋体"/>
          <w:b/>
          <w:bCs/>
          <w:color w:val="000000" w:themeColor="text1"/>
          <w:sz w:val="28"/>
          <w:szCs w:val="28"/>
          <w:highlight w:val="none"/>
          <w:u w:val="single"/>
          <w:lang w:eastAsia="zh-CN"/>
          <w14:textFill>
            <w14:solidFill>
              <w14:schemeClr w14:val="tx1"/>
            </w14:solidFill>
          </w14:textFill>
        </w:rPr>
        <w:t xml:space="preserve">依据评标办法用于评分的材料</w:t>
      </w:r>
      <w:r/>
    </w:p>
    <w:p>
      <w:pPr>
        <w:ind w:left="0" w:right="0" w:firstLine="0"/>
        <w:jc w:val="center"/>
        <w:pageBreakBefore w:val="0"/>
        <w:shd w:val="clear" w:color="auto"/>
        <w:widowControl/>
        <w:rPr>
          <w:rFonts w:hint="eastAsia" w:ascii="宋体" w:hAnsi="宋体" w:eastAsia="宋体" w:cs="宋体"/>
          <w:b/>
          <w:bCs/>
          <w:color w:val="000000" w:themeColor="text1"/>
          <w:sz w:val="32"/>
          <w:szCs w:val="32"/>
          <w:highlight w:val="none"/>
          <w:u w:val="single"/>
          <w:lang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left"/>
        <w:pageBreakBefore w:val="0"/>
        <w:shd w:val="clear" w:color="auto"/>
        <w:widowControl/>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u w:val="single"/>
          <w:lang w:val="en-US" w:eastAsia="zh-CN"/>
          <w14:textFill>
            <w14:solidFill>
              <w14:schemeClr w14:val="tx1"/>
            </w14:solidFill>
          </w14:textFill>
        </w:rPr>
      </w:r>
      <w:r/>
    </w:p>
    <w:p>
      <w:pPr>
        <w:ind w:left="0" w:right="0" w:firstLine="0"/>
        <w:jc w:val="center"/>
        <w:pageBreakBefore w:val="0"/>
        <w:shd w:val="clear" w:color="auto"/>
        <w:widowControl/>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十七、盐城市政府采购事前信用承诺书</w:t>
      </w:r>
      <w:r/>
    </w:p>
    <w:p>
      <w:pPr>
        <w:ind w:firstLine="480"/>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（八）本人已认真阅读了上述承诺，并向本单位员工作了宣传教育。</w:t>
      </w:r>
      <w:r/>
    </w:p>
    <w:p>
      <w:pPr>
        <w:jc w:val="left"/>
        <w:spacing w:line="500" w:lineRule="exac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法定代表人签名：</w:t>
      </w:r>
      <w:r/>
    </w:p>
    <w:p>
      <w:pPr>
        <w:jc w:val="center"/>
        <w:spacing w:line="5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单位名称（盖章）：</w:t>
      </w:r>
      <w:r/>
    </w:p>
    <w:p>
      <w:pPr>
        <w:jc w:val="center"/>
        <w:spacing w:line="360" w:lineRule="auto"/>
        <w:widowControl/>
        <w:rPr>
          <w:rFonts w:cs="宋体" w:asciiTheme="minorEastAsia" w:hAnsiTheme="minorEastAsia" w:eastAsiaTheme="minorEastAsia"/>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年    月    </w:t>
      </w:r>
      <w:r>
        <w:rPr>
          <w:rFonts w:hint="eastAsia" w:ascii="宋体" w:hAnsi="宋体"/>
          <w:color w:val="000000" w:themeColor="text1"/>
          <w:sz w:val="24"/>
          <w:szCs w:val="24"/>
          <w:lang w:val="en-US" w:eastAsia="zh-CN"/>
          <w14:textFill>
            <w14:solidFill>
              <w14:schemeClr w14:val="tx1"/>
            </w14:solidFill>
          </w14:textFill>
        </w:rPr>
        <w:t xml:space="preserve">日</w:t>
      </w:r>
      <w:r/>
    </w:p>
    <w:p>
      <w:pPr>
        <w:ind w:right="-275"/>
        <w:jc w:val="right"/>
        <w:spacing w:line="500" w:lineRule="exact"/>
        <w:widowControl/>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ind w:right="-275"/>
        <w:jc w:val="both"/>
        <w:spacing w:line="500" w:lineRule="exact"/>
        <w:widowControl/>
        <w:rPr>
          <w:rFonts w:asciiTheme="majorEastAsia" w:hAnsiTheme="majorEastAsia" w:eastAsiaTheme="majorEastAsia"/>
          <w:color w:val="000000" w:themeColor="text1"/>
          <w:sz w:val="21"/>
          <w:szCs w:val="21"/>
          <w14:textFill>
            <w14:solidFill>
              <w14:schemeClr w14:val="tx1"/>
            </w14:solidFill>
          </w14:textFill>
        </w:rPr>
      </w:pPr>
      <w:r>
        <w:rPr>
          <w:rFonts w:asciiTheme="majorEastAsia" w:hAnsiTheme="majorEastAsia" w:eastAsiaTheme="majorEastAsia"/>
          <w:color w:val="000000" w:themeColor="text1"/>
          <w:sz w:val="21"/>
          <w:szCs w:val="21"/>
          <w14:textFill>
            <w14:solidFill>
              <w14:schemeClr w14:val="tx1"/>
            </w14:solidFill>
          </w14:textFill>
        </w:rPr>
      </w:r>
      <w:r/>
    </w:p>
    <w:p>
      <w:pPr>
        <w:pStyle w:val="707"/>
        <w:ind w:left="0" w:right="0" w:firstLine="0"/>
        <w:jc w:val="center"/>
        <w:pageBreakBefore w:val="0"/>
        <w:spacing w:beforeAutospacing="0" w:afterAutospacing="0"/>
        <w:shd w:val="clear" w:color="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一、质疑供应商基本信息</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质疑供应商：</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地址：</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邮编：</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联系电话：</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授权代表：</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联系电话：</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地址：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邮编：</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二、质疑项目基本情况</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质疑项目的名称：</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质疑项目的编号：</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包号：</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ab/>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采购人名称：</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采购文件获取日期：</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三、质疑事项具体内容</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质疑事项1：</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事实依据：</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法律依据：</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质疑事项2</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四、与质疑事项相关的质疑请求</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请求：</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签字(签章)：                 公章：               日期：    </w:t>
      </w:r>
      <w:r/>
    </w:p>
    <w:p>
      <w:pPr>
        <w:pStyle w:val="707"/>
        <w:ind w:left="0" w:right="0" w:firstLine="0"/>
        <w:jc w:val="both"/>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质疑函制作说明：</w:t>
      </w:r>
      <w:r/>
    </w:p>
    <w:p>
      <w:pPr>
        <w:pStyle w:val="707"/>
        <w:ind w:left="0" w:right="0" w:firstLine="0"/>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1.供应商提出质疑时，应提交质疑函和必要的证明材料。</w:t>
      </w:r>
      <w:r/>
    </w:p>
    <w:p>
      <w:pPr>
        <w:pStyle w:val="707"/>
        <w:ind w:left="0" w:right="0" w:firstLine="0"/>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7"/>
        <w:ind w:left="0" w:right="0" w:firstLine="0"/>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3.质疑供应商若对项目的某一分包进行质疑，质疑函中应列明具体分包号。</w:t>
      </w:r>
      <w:r/>
    </w:p>
    <w:p>
      <w:pPr>
        <w:pStyle w:val="707"/>
        <w:ind w:left="0" w:right="0" w:firstLine="0"/>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4.质疑函的质疑事项应具体、明确，并有必要的事实依据和法律依据。</w:t>
      </w:r>
      <w:r/>
    </w:p>
    <w:p>
      <w:pPr>
        <w:pStyle w:val="707"/>
        <w:ind w:left="0" w:right="0" w:firstLine="0"/>
        <w:keepLines w:val="0"/>
        <w:keepNext w:val="0"/>
        <w:pageBreakBefore w:val="0"/>
        <w:spacing w:before="0" w:beforeAutospacing="0" w:after="0" w:afterAutospacing="0" w:line="312" w:lineRule="auto"/>
        <w:shd w:val="clear" w:color="auto"/>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5.质疑函的质疑请求应与质疑事项相关。</w:t>
      </w:r>
      <w:r/>
    </w:p>
    <w:p>
      <w:pPr>
        <w:pStyle w:val="707"/>
        <w:ind w:left="0" w:right="0" w:firstLine="0"/>
        <w:keepLines w:val="0"/>
        <w:keepNext w:val="0"/>
        <w:pageBreakBefore w:val="0"/>
        <w:spacing w:before="0" w:beforeAutospacing="0" w:after="0" w:afterAutospacing="0" w:line="312" w:lineRule="auto"/>
        <w:shd w:val="clear" w:color="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first" r:id="rId11"/>
      <w:footnotePr/>
      <w:endnotePr/>
      <w:type w:val="nextPage"/>
      <w:pgSz w:w="11906" w:h="16838" w:orient="portrait"/>
      <w:pgMar w:top="1417" w:right="1417" w:bottom="1417" w:left="1417"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right" w:pos="4153" w:leader="none"/>
        <w:tab w:val="clear" w:pos="8306" w:leader="none"/>
        <w:tab w:val="left" w:pos="13750" w:leader="none"/>
      </w:tabs>
      <w:rPr>
        <w:iCs/>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left" w:pos="3137" w:leader="none"/>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9"/>
    <w:link w:val="685"/>
    <w:uiPriority w:val="9"/>
    <w:rPr>
      <w:rFonts w:ascii="Arial" w:hAnsi="Arial" w:eastAsia="Arial" w:cs="Arial"/>
      <w:sz w:val="40"/>
      <w:szCs w:val="40"/>
    </w:rPr>
  </w:style>
  <w:style w:type="character" w:styleId="15">
    <w:name w:val="Heading 2 Char"/>
    <w:basedOn w:val="689"/>
    <w:link w:val="686"/>
    <w:uiPriority w:val="9"/>
    <w:rPr>
      <w:rFonts w:ascii="Arial" w:hAnsi="Arial" w:eastAsia="Arial" w:cs="Arial"/>
      <w:sz w:val="34"/>
    </w:rPr>
  </w:style>
  <w:style w:type="character" w:styleId="17">
    <w:name w:val="Heading 3 Char"/>
    <w:basedOn w:val="689"/>
    <w:link w:val="687"/>
    <w:uiPriority w:val="9"/>
    <w:rPr>
      <w:rFonts w:ascii="Arial" w:hAnsi="Arial" w:eastAsia="Arial" w:cs="Arial"/>
      <w:sz w:val="30"/>
      <w:szCs w:val="30"/>
    </w:rPr>
  </w:style>
  <w:style w:type="character" w:styleId="19">
    <w:name w:val="Heading 4 Char"/>
    <w:basedOn w:val="689"/>
    <w:link w:val="68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9"/>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9"/>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9"/>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9"/>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9"/>
    <w:link w:val="28"/>
    <w:uiPriority w:val="9"/>
    <w:rPr>
      <w:rFonts w:ascii="Arial" w:hAnsi="Arial" w:eastAsia="Arial" w:cs="Arial"/>
      <w:i/>
      <w:iCs/>
      <w:sz w:val="21"/>
      <w:szCs w:val="21"/>
    </w:r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689"/>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689"/>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9"/>
    <w:link w:val="705"/>
    <w:uiPriority w:val="99"/>
  </w:style>
  <w:style w:type="character" w:styleId="44">
    <w:name w:val="Footer Char"/>
    <w:basedOn w:val="689"/>
    <w:link w:val="704"/>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704"/>
    <w:uiPriority w:val="99"/>
  </w:style>
  <w:style w:type="table" w:styleId="48">
    <w:name w:val="Table Grid Light"/>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9"/>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9"/>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85">
    <w:name w:val="Heading 1"/>
    <w:basedOn w:val="684"/>
    <w:next w:val="684"/>
    <w:link w:val="721"/>
    <w:uiPriority w:val="99"/>
    <w:qFormat/>
    <w:pPr>
      <w:jc w:val="center"/>
      <w:keepNext/>
      <w:outlineLvl w:val="0"/>
    </w:pPr>
    <w:rPr>
      <w:rFonts w:ascii="楷体_GB2312" w:eastAsia="楷体_GB2312"/>
      <w:sz w:val="28"/>
      <w:szCs w:val="28"/>
    </w:rPr>
  </w:style>
  <w:style w:type="paragraph" w:styleId="686">
    <w:name w:val="Heading 2"/>
    <w:basedOn w:val="684"/>
    <w:next w:val="684"/>
    <w:link w:val="7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7">
    <w:name w:val="Heading 3"/>
    <w:basedOn w:val="684"/>
    <w:next w:val="684"/>
    <w:link w:val="722"/>
    <w:uiPriority w:val="99"/>
    <w:qFormat/>
    <w:pPr>
      <w:keepLines/>
      <w:keepNext/>
      <w:spacing w:before="260" w:after="260" w:line="416" w:lineRule="auto"/>
      <w:outlineLvl w:val="2"/>
    </w:pPr>
    <w:rPr>
      <w:b/>
      <w:bCs/>
      <w:sz w:val="32"/>
      <w:szCs w:val="32"/>
    </w:rPr>
  </w:style>
  <w:style w:type="paragraph" w:styleId="688">
    <w:name w:val="Heading 4"/>
    <w:basedOn w:val="684"/>
    <w:next w:val="691"/>
    <w:uiPriority w:val="0"/>
    <w:qFormat/>
    <w:pPr>
      <w:keepLines/>
      <w:keepNext/>
      <w:spacing w:before="280" w:after="290" w:line="376" w:lineRule="auto"/>
      <w:outlineLvl w:val="3"/>
    </w:pPr>
    <w:rPr>
      <w:rFonts w:ascii="Arial" w:hAnsi="Arial" w:eastAsia="黑体" w:cs="Arial"/>
      <w:b/>
      <w:bCs/>
      <w:sz w:val="28"/>
      <w:szCs w:val="28"/>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Normal Indent"/>
    <w:basedOn w:val="684"/>
    <w:uiPriority w:val="0"/>
    <w:qFormat/>
    <w:pPr>
      <w:ind w:firstLine="420"/>
    </w:pPr>
  </w:style>
  <w:style w:type="paragraph" w:styleId="692">
    <w:name w:val="annotation text"/>
    <w:basedOn w:val="684"/>
    <w:uiPriority w:val="0"/>
    <w:semiHidden/>
    <w:qFormat/>
    <w:pPr>
      <w:jc w:val="left"/>
    </w:pPr>
  </w:style>
  <w:style w:type="paragraph" w:styleId="693">
    <w:name w:val="Body Text"/>
    <w:basedOn w:val="684"/>
    <w:next w:val="694"/>
    <w:uiPriority w:val="0"/>
    <w:qFormat/>
    <w:rPr>
      <w:rFonts w:ascii="楷体_GB2312" w:hAnsi="Arial" w:eastAsia="楷体_GB2312"/>
      <w:sz w:val="28"/>
      <w:szCs w:val="28"/>
    </w:rPr>
  </w:style>
  <w:style w:type="paragraph" w:styleId="694" w:customStyle="1">
    <w:name w:val="一级条标题"/>
    <w:basedOn w:val="695"/>
    <w:next w:val="6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5" w:customStyle="1">
    <w:name w:val="章标题"/>
    <w:basedOn w:val="684"/>
    <w:next w:val="68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696" w:customStyle="1">
    <w:name w:val="段"/>
    <w:next w:val="684"/>
    <w:uiPriority w:val="0"/>
    <w:qFormat/>
    <w:pPr>
      <w:ind w:firstLine="200"/>
      <w:jc w:val="both"/>
    </w:pPr>
    <w:rPr>
      <w:rFonts w:ascii="宋体" w:hAnsi="Times New Roman" w:eastAsia="宋体" w:cs="Times New Roman"/>
      <w:sz w:val="21"/>
      <w:szCs w:val="22"/>
      <w:lang w:val="en-US" w:eastAsia="zh-CN" w:bidi="ar-SA"/>
    </w:rPr>
  </w:style>
  <w:style w:type="paragraph" w:styleId="697">
    <w:name w:val="Body Text Indent"/>
    <w:basedOn w:val="684"/>
    <w:next w:val="698"/>
    <w:uiPriority w:val="0"/>
    <w:qFormat/>
    <w:pPr>
      <w:ind w:firstLine="645"/>
    </w:pPr>
    <w:rPr>
      <w:rFonts w:ascii="楷体_GB2312" w:eastAsia="楷体_GB2312"/>
      <w:sz w:val="32"/>
      <w:szCs w:val="32"/>
    </w:rPr>
  </w:style>
  <w:style w:type="paragraph" w:styleId="698">
    <w:name w:val="envelope return"/>
    <w:basedOn w:val="684"/>
    <w:uiPriority w:val="0"/>
    <w:qFormat/>
    <w:rPr>
      <w:rFonts w:ascii="Arial" w:hAnsi="Arial"/>
    </w:rPr>
  </w:style>
  <w:style w:type="paragraph" w:styleId="699">
    <w:name w:val="Block Text"/>
    <w:basedOn w:val="684"/>
    <w:uiPriority w:val="99"/>
    <w:unhideWhenUsed/>
    <w:qFormat/>
    <w:pPr>
      <w:ind w:left="1440" w:right="1440"/>
      <w:spacing w:after="120"/>
    </w:pPr>
  </w:style>
  <w:style w:type="paragraph" w:styleId="700">
    <w:name w:val="index 4"/>
    <w:basedOn w:val="684"/>
    <w:next w:val="684"/>
    <w:uiPriority w:val="99"/>
    <w:unhideWhenUsed/>
    <w:qFormat/>
    <w:pPr>
      <w:ind w:left="600"/>
    </w:pPr>
  </w:style>
  <w:style w:type="paragraph" w:styleId="701">
    <w:name w:val="Plain Text"/>
    <w:basedOn w:val="684"/>
    <w:link w:val="725"/>
    <w:uiPriority w:val="99"/>
    <w:qFormat/>
    <w:rPr>
      <w:rFonts w:ascii="宋体" w:hAnsi="Courier New"/>
    </w:rPr>
  </w:style>
  <w:style w:type="paragraph" w:styleId="702">
    <w:name w:val="Body Text Indent 2"/>
    <w:basedOn w:val="684"/>
    <w:link w:val="735"/>
    <w:uiPriority w:val="0"/>
    <w:qFormat/>
    <w:pPr>
      <w:spacing w:after="120" w:line="480" w:lineRule="auto"/>
    </w:pPr>
  </w:style>
  <w:style w:type="paragraph" w:styleId="703">
    <w:name w:val="Balloon Text"/>
    <w:basedOn w:val="684"/>
    <w:link w:val="727"/>
    <w:uiPriority w:val="0"/>
    <w:qFormat/>
    <w:rPr>
      <w:sz w:val="18"/>
      <w:szCs w:val="18"/>
    </w:rPr>
  </w:style>
  <w:style w:type="paragraph" w:styleId="704">
    <w:name w:val="Footer"/>
    <w:basedOn w:val="684"/>
    <w:link w:val="724"/>
    <w:uiPriority w:val="99"/>
    <w:qFormat/>
    <w:pPr>
      <w:jc w:val="left"/>
      <w:tabs>
        <w:tab w:val="center" w:pos="4153" w:leader="none"/>
        <w:tab w:val="right" w:pos="8306" w:leader="none"/>
      </w:tabs>
    </w:pPr>
    <w:rPr>
      <w:sz w:val="18"/>
      <w:szCs w:val="18"/>
    </w:rPr>
  </w:style>
  <w:style w:type="paragraph" w:styleId="705">
    <w:name w:val="Header"/>
    <w:basedOn w:val="684"/>
    <w:link w:val="726"/>
    <w:uiPriority w:val="99"/>
    <w:qFormat/>
    <w:pPr>
      <w:jc w:val="center"/>
      <w:tabs>
        <w:tab w:val="center" w:pos="4153" w:leader="none"/>
        <w:tab w:val="right" w:pos="8306" w:leader="none"/>
      </w:tabs>
      <w:pBdr>
        <w:bottom w:val="single" w:color="auto" w:sz="6" w:space="1"/>
      </w:pBdr>
    </w:pPr>
    <w:rPr>
      <w:sz w:val="18"/>
      <w:szCs w:val="18"/>
    </w:rPr>
  </w:style>
  <w:style w:type="paragraph" w:styleId="706">
    <w:name w:val="toc 2"/>
    <w:basedOn w:val="684"/>
    <w:next w:val="684"/>
    <w:uiPriority w:val="39"/>
    <w:qFormat/>
    <w:pPr>
      <w:ind w:left="420"/>
    </w:pPr>
    <w:rPr>
      <w:rFonts w:ascii="Calibri" w:hAnsi="Calibri"/>
      <w:szCs w:val="22"/>
    </w:rPr>
  </w:style>
  <w:style w:type="paragraph" w:styleId="707">
    <w:name w:val="Normal (Web)"/>
    <w:basedOn w:val="684"/>
    <w:uiPriority w:val="99"/>
    <w:unhideWhenUsed/>
    <w:qFormat/>
    <w:pPr>
      <w:jc w:val="left"/>
      <w:spacing w:before="100" w:beforeAutospacing="1" w:after="100" w:afterAutospacing="1"/>
      <w:widowControl/>
    </w:pPr>
    <w:rPr>
      <w:rFonts w:ascii="宋体" w:hAnsi="宋体" w:cs="宋体"/>
      <w:sz w:val="24"/>
      <w:szCs w:val="24"/>
    </w:rPr>
  </w:style>
  <w:style w:type="paragraph" w:styleId="708">
    <w:name w:val="Body Text First Indent"/>
    <w:basedOn w:val="693"/>
    <w:uiPriority w:val="0"/>
    <w:qFormat/>
    <w:pPr>
      <w:ind w:firstLine="200"/>
      <w:spacing w:line="360" w:lineRule="auto"/>
    </w:pPr>
    <w:rPr>
      <w:rFonts w:ascii="仿宋_GB2312" w:eastAsia="仿宋_GB2312"/>
      <w:sz w:val="30"/>
      <w:szCs w:val="30"/>
    </w:rPr>
  </w:style>
  <w:style w:type="paragraph" w:styleId="709">
    <w:name w:val="Body Text First Indent 2"/>
    <w:basedOn w:val="697"/>
    <w:next w:val="691"/>
    <w:uiPriority w:val="0"/>
    <w:qFormat/>
    <w:pPr>
      <w:ind w:firstLine="420"/>
      <w:spacing w:line="360" w:lineRule="auto"/>
    </w:pPr>
    <w:rPr>
      <w:rFonts w:ascii="宋体" w:hAnsi="宋体" w:eastAsia="宋体"/>
      <w:sz w:val="21"/>
      <w:szCs w:val="20"/>
    </w:rPr>
  </w:style>
  <w:style w:type="table" w:styleId="710">
    <w:name w:val="Table Grid"/>
    <w:basedOn w:val="6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page number"/>
    <w:uiPriority w:val="0"/>
    <w:qFormat/>
  </w:style>
  <w:style w:type="character" w:styleId="712">
    <w:name w:val="Hyperlink"/>
    <w:uiPriority w:val="0"/>
    <w:qFormat/>
    <w:rPr>
      <w:color w:val="0000ff"/>
      <w:u w:val="single"/>
    </w:rPr>
  </w:style>
  <w:style w:type="paragraph" w:styleId="713" w:customStyle="1">
    <w:name w:val="正文1"/>
    <w:basedOn w:val="684"/>
    <w:next w:val="684"/>
    <w:uiPriority w:val="0"/>
    <w:qFormat/>
    <w:pPr>
      <w:spacing w:line="360" w:lineRule="auto"/>
    </w:pPr>
    <w:rPr>
      <w:sz w:val="24"/>
    </w:rPr>
  </w:style>
  <w:style w:type="paragraph" w:styleId="71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715">
    <w:name w:val="List Paragraph"/>
    <w:basedOn w:val="684"/>
    <w:uiPriority w:val="34"/>
    <w:qFormat/>
    <w:pPr>
      <w:contextualSpacing/>
      <w:ind w:left="720"/>
      <w:jc w:val="left"/>
      <w:widowControl/>
    </w:pPr>
    <w:rPr>
      <w:rFonts w:ascii="Calibri" w:hAnsi="Calibri"/>
      <w:sz w:val="24"/>
      <w:szCs w:val="24"/>
      <w:lang w:eastAsia="en-US" w:bidi="en-US"/>
    </w:rPr>
  </w:style>
  <w:style w:type="paragraph" w:styleId="716" w:customStyle="1">
    <w:name w:val="*正文"/>
    <w:basedOn w:val="684"/>
    <w:uiPriority w:val="0"/>
    <w:qFormat/>
    <w:rPr>
      <w:rFonts w:ascii="宋体" w:hAnsi="宋体"/>
      <w:sz w:val="22"/>
    </w:rPr>
  </w:style>
  <w:style w:type="paragraph" w:styleId="717"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71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19" w:customStyle="1">
    <w:name w:val="列出段落1"/>
    <w:basedOn w:val="684"/>
    <w:uiPriority w:val="0"/>
    <w:qFormat/>
    <w:pPr>
      <w:contextualSpacing/>
      <w:ind w:left="720"/>
      <w:jc w:val="left"/>
      <w:widowControl/>
    </w:pPr>
    <w:rPr>
      <w:rFonts w:ascii="Calibri" w:hAnsi="Calibri"/>
      <w:sz w:val="24"/>
      <w:szCs w:val="24"/>
      <w:lang w:eastAsia="en-US" w:bidi="en-US"/>
    </w:rPr>
  </w:style>
  <w:style w:type="paragraph" w:styleId="720" w:customStyle="1">
    <w:name w:val="Char"/>
    <w:basedOn w:val="684"/>
    <w:uiPriority w:val="0"/>
    <w:qFormat/>
    <w:pPr>
      <w:ind w:firstLine="200"/>
      <w:tabs>
        <w:tab w:val="left" w:pos="360" w:leader="none"/>
      </w:tabs>
    </w:pPr>
    <w:rPr>
      <w:sz w:val="28"/>
      <w:szCs w:val="30"/>
    </w:rPr>
  </w:style>
  <w:style w:type="character" w:styleId="721" w:customStyle="1">
    <w:name w:val="标题 1 字符"/>
    <w:basedOn w:val="689"/>
    <w:link w:val="685"/>
    <w:uiPriority w:val="99"/>
    <w:qFormat/>
    <w:rPr>
      <w:rFonts w:ascii="楷体_GB2312" w:hAnsi="Times New Roman" w:eastAsia="楷体_GB2312" w:cs="Times New Roman"/>
      <w:sz w:val="28"/>
      <w:szCs w:val="28"/>
    </w:rPr>
  </w:style>
  <w:style w:type="character" w:styleId="722" w:customStyle="1">
    <w:name w:val="标题 3 字符"/>
    <w:basedOn w:val="689"/>
    <w:link w:val="687"/>
    <w:uiPriority w:val="99"/>
    <w:qFormat/>
    <w:rPr>
      <w:rFonts w:ascii="Times New Roman" w:hAnsi="Times New Roman" w:eastAsia="宋体" w:cs="Times New Roman"/>
      <w:b/>
      <w:bCs/>
      <w:sz w:val="32"/>
      <w:szCs w:val="32"/>
    </w:rPr>
  </w:style>
  <w:style w:type="paragraph" w:styleId="723" w:customStyle="1">
    <w:name w:val="msonormal"/>
    <w:basedOn w:val="684"/>
    <w:uiPriority w:val="0"/>
    <w:qFormat/>
    <w:pPr>
      <w:jc w:val="left"/>
      <w:spacing w:before="100" w:beforeAutospacing="1" w:after="100" w:afterAutospacing="1"/>
      <w:widowControl/>
    </w:pPr>
    <w:rPr>
      <w:rFonts w:ascii="宋体" w:hAnsi="宋体" w:cs="宋体"/>
      <w:sz w:val="24"/>
      <w:szCs w:val="24"/>
    </w:rPr>
  </w:style>
  <w:style w:type="character" w:styleId="724" w:customStyle="1">
    <w:name w:val="页脚 字符"/>
    <w:basedOn w:val="689"/>
    <w:link w:val="704"/>
    <w:uiPriority w:val="99"/>
    <w:qFormat/>
    <w:rPr>
      <w:rFonts w:ascii="Times New Roman" w:hAnsi="Times New Roman" w:eastAsia="宋体" w:cs="Times New Roman"/>
      <w:sz w:val="18"/>
      <w:szCs w:val="18"/>
    </w:rPr>
  </w:style>
  <w:style w:type="character" w:styleId="725" w:customStyle="1">
    <w:name w:val="纯文本 字符"/>
    <w:basedOn w:val="689"/>
    <w:link w:val="701"/>
    <w:uiPriority w:val="99"/>
    <w:qFormat/>
    <w:rPr>
      <w:rFonts w:ascii="宋体" w:hAnsi="Courier New" w:eastAsia="宋体" w:cs="Times New Roman"/>
      <w:sz w:val="21"/>
      <w:szCs w:val="21"/>
    </w:rPr>
  </w:style>
  <w:style w:type="character" w:styleId="726" w:customStyle="1">
    <w:name w:val="页眉 字符"/>
    <w:basedOn w:val="689"/>
    <w:link w:val="705"/>
    <w:uiPriority w:val="99"/>
    <w:qFormat/>
    <w:rPr>
      <w:rFonts w:ascii="Times New Roman" w:hAnsi="Times New Roman" w:eastAsia="宋体" w:cs="Times New Roman"/>
      <w:sz w:val="18"/>
      <w:szCs w:val="18"/>
    </w:rPr>
  </w:style>
  <w:style w:type="character" w:styleId="727" w:customStyle="1">
    <w:name w:val="批注框文本 字符"/>
    <w:basedOn w:val="689"/>
    <w:link w:val="703"/>
    <w:uiPriority w:val="0"/>
    <w:qFormat/>
    <w:rPr>
      <w:rFonts w:ascii="Times New Roman" w:hAnsi="Times New Roman" w:eastAsia="宋体" w:cs="Times New Roman"/>
      <w:sz w:val="18"/>
      <w:szCs w:val="18"/>
    </w:rPr>
  </w:style>
  <w:style w:type="paragraph" w:styleId="728" w:customStyle="1">
    <w:name w:val="样式 首行缩进:  0 字符"/>
    <w:basedOn w:val="684"/>
    <w:uiPriority w:val="0"/>
    <w:qFormat/>
    <w:rPr>
      <w:rFonts w:ascii="Arial" w:hAnsi="Arial" w:cs="宋体"/>
      <w:szCs w:val="20"/>
    </w:rPr>
  </w:style>
  <w:style w:type="paragraph" w:styleId="729" w:customStyle="1">
    <w:name w:val="!正文"/>
    <w:basedOn w:val="684"/>
    <w:uiPriority w:val="0"/>
    <w:qFormat/>
    <w:pPr>
      <w:widowControl/>
    </w:pPr>
    <w:rPr>
      <w:szCs w:val="28"/>
    </w:rPr>
  </w:style>
  <w:style w:type="character" w:styleId="730" w:customStyle="1">
    <w:name w:val="current"/>
    <w:basedOn w:val="689"/>
    <w:uiPriority w:val="0"/>
    <w:qFormat/>
    <w:rPr>
      <w:b/>
      <w:bCs/>
      <w:color w:val="05a7d8"/>
      <w:sz w:val="12"/>
      <w:szCs w:val="12"/>
    </w:rPr>
  </w:style>
  <w:style w:type="character" w:styleId="731" w:customStyle="1">
    <w:name w:val="l-btn-left"/>
    <w:basedOn w:val="689"/>
    <w:uiPriority w:val="0"/>
    <w:qFormat/>
  </w:style>
  <w:style w:type="character" w:styleId="732" w:customStyle="1">
    <w:name w:val="l-btn-text36"/>
    <w:basedOn w:val="689"/>
    <w:uiPriority w:val="0"/>
    <w:qFormat/>
  </w:style>
  <w:style w:type="table" w:styleId="733" w:customStyle="1">
    <w:name w:val="Table Normal"/>
    <w:uiPriority w:val="0"/>
    <w:unhideWhenUsed/>
    <w:qFormat/>
    <w:tblPr>
      <w:tblCellMar>
        <w:left w:w="0" w:type="dxa"/>
        <w:top w:w="0" w:type="dxa"/>
        <w:right w:w="0" w:type="dxa"/>
        <w:bottom w:w="0" w:type="dxa"/>
      </w:tblCellMar>
    </w:tblPr>
  </w:style>
  <w:style w:type="paragraph" w:styleId="734" w:customStyle="1">
    <w:name w:val="Table Text"/>
    <w:basedOn w:val="684"/>
    <w:uiPriority w:val="0"/>
    <w:semiHidden/>
    <w:qFormat/>
    <w:rPr>
      <w:rFonts w:ascii="宋体" w:hAnsi="宋体" w:eastAsia="宋体" w:cs="宋体"/>
      <w:sz w:val="21"/>
      <w:szCs w:val="21"/>
      <w:lang w:val="en-US" w:eastAsia="en-US" w:bidi="ar-SA"/>
    </w:rPr>
  </w:style>
  <w:style w:type="character" w:styleId="735" w:customStyle="1">
    <w:name w:val="正文文本缩进 2 Char"/>
    <w:link w:val="702"/>
    <w:uiPriority w:val="0"/>
    <w:qFormat/>
  </w:style>
  <w:style w:type="paragraph" w:styleId="736">
    <w:name w:val="No Spacing"/>
    <w:uiPriority w:val="0"/>
    <w:qFormat/>
    <w:pPr>
      <w:jc w:val="both"/>
      <w:widowControl w:val="off"/>
    </w:pPr>
    <w:rPr>
      <w:rFonts w:ascii="Calibri" w:hAnsi="Calibri" w:eastAsia="宋体" w:cs="Times New Roman"/>
      <w:sz w:val="21"/>
      <w:szCs w:val="22"/>
      <w:lang w:val="en-US" w:eastAsia="zh-CN" w:bidi="ar-SA"/>
    </w:rPr>
  </w:style>
  <w:style w:type="character" w:styleId="737" w:customStyle="1">
    <w:name w:val="l-btn-text"/>
    <w:basedOn w:val="689"/>
    <w:uiPriority w:val="0"/>
    <w:qFormat/>
  </w:style>
  <w:style w:type="character" w:styleId="738" w:customStyle="1">
    <w:name w:val="l-btn-text25"/>
    <w:basedOn w:val="689"/>
    <w:uiPriority w:val="0"/>
    <w:qFormat/>
  </w:style>
  <w:style w:type="character" w:styleId="739" w:customStyle="1">
    <w:name w:val="font61"/>
    <w:basedOn w:val="689"/>
    <w:uiPriority w:val="0"/>
    <w:qFormat/>
    <w:rPr>
      <w:rFonts w:hint="eastAsia" w:ascii="宋体" w:hAnsi="宋体" w:eastAsia="宋体" w:cs="宋体"/>
      <w:color w:val="000000"/>
      <w:sz w:val="22"/>
      <w:szCs w:val="22"/>
      <w:u w:val="none"/>
    </w:rPr>
  </w:style>
  <w:style w:type="character" w:styleId="740" w:customStyle="1">
    <w:name w:val="font141"/>
    <w:basedOn w:val="689"/>
    <w:uiPriority w:val="0"/>
    <w:qFormat/>
    <w:rPr>
      <w:rFonts w:hint="eastAsia" w:ascii="宋体" w:hAnsi="宋体" w:eastAsia="宋体" w:cs="宋体"/>
      <w:color w:val="000000"/>
      <w:sz w:val="22"/>
      <w:szCs w:val="22"/>
      <w:u w:val="none"/>
      <w:vertAlign w:val="superscript"/>
    </w:rPr>
  </w:style>
  <w:style w:type="character" w:styleId="741" w:customStyle="1">
    <w:name w:val="font81"/>
    <w:basedOn w:val="689"/>
    <w:uiPriority w:val="0"/>
    <w:qFormat/>
    <w:rPr>
      <w:rFonts w:hint="eastAsia" w:ascii="宋体" w:hAnsi="宋体" w:eastAsia="宋体" w:cs="宋体"/>
      <w:b/>
      <w:bCs/>
      <w:color w:val="000000"/>
      <w:sz w:val="22"/>
      <w:szCs w:val="22"/>
      <w:u w:val="none"/>
    </w:rPr>
  </w:style>
  <w:style w:type="character" w:styleId="742" w:customStyle="1">
    <w:name w:val="font71"/>
    <w:basedOn w:val="689"/>
    <w:uiPriority w:val="0"/>
    <w:qFormat/>
    <w:rPr>
      <w:rFonts w:hint="eastAsia" w:ascii="宋体" w:hAnsi="宋体" w:eastAsia="宋体" w:cs="宋体"/>
      <w:color w:val="000000"/>
      <w:sz w:val="22"/>
      <w:szCs w:val="22"/>
      <w:u w:val="none"/>
    </w:rPr>
  </w:style>
  <w:style w:type="character" w:styleId="743" w:customStyle="1">
    <w:name w:val="font151"/>
    <w:basedOn w:val="689"/>
    <w:uiPriority w:val="0"/>
    <w:qFormat/>
    <w:rPr>
      <w:rFonts w:hint="eastAsia" w:ascii="宋体" w:hAnsi="宋体" w:eastAsia="宋体" w:cs="宋体"/>
      <w:color w:val="000000"/>
      <w:sz w:val="22"/>
      <w:szCs w:val="22"/>
      <w:u w:val="none"/>
      <w:vertAlign w:val="superscript"/>
    </w:rPr>
  </w:style>
  <w:style w:type="character" w:styleId="744" w:customStyle="1">
    <w:name w:val="font11"/>
    <w:basedOn w:val="689"/>
    <w:uiPriority w:val="0"/>
    <w:qFormat/>
    <w:rPr>
      <w:rFonts w:hint="eastAsia" w:ascii="宋体" w:hAnsi="宋体" w:eastAsia="宋体" w:cs="宋体"/>
      <w:color w:val="000000"/>
      <w:sz w:val="22"/>
      <w:szCs w:val="22"/>
      <w:u w:val="none"/>
    </w:rPr>
  </w:style>
  <w:style w:type="character" w:styleId="745" w:customStyle="1">
    <w:name w:val="font161"/>
    <w:basedOn w:val="689"/>
    <w:uiPriority w:val="0"/>
    <w:qFormat/>
    <w:rPr>
      <w:rFonts w:hint="eastAsia" w:ascii="宋体" w:hAnsi="宋体" w:eastAsia="宋体" w:cs="宋体"/>
      <w:color w:val="000000"/>
      <w:sz w:val="22"/>
      <w:szCs w:val="22"/>
      <w:u w:val="none"/>
      <w:vertAlign w:val="superscript"/>
    </w:rPr>
  </w:style>
  <w:style w:type="character" w:styleId="746" w:customStyle="1">
    <w:name w:val="font112"/>
    <w:basedOn w:val="689"/>
    <w:uiPriority w:val="0"/>
    <w:qFormat/>
    <w:rPr>
      <w:rFonts w:hint="eastAsia" w:ascii="宋体" w:hAnsi="宋体" w:eastAsia="宋体" w:cs="宋体"/>
      <w:b/>
      <w:bCs/>
      <w:color w:val="000000"/>
      <w:sz w:val="22"/>
      <w:szCs w:val="22"/>
      <w:u w:val="none"/>
    </w:rPr>
  </w:style>
  <w:style w:type="character" w:styleId="747" w:customStyle="1">
    <w:name w:val="font171"/>
    <w:basedOn w:val="689"/>
    <w:uiPriority w:val="0"/>
    <w:qFormat/>
    <w:rPr>
      <w:rFonts w:hint="eastAsia" w:ascii="宋体" w:hAnsi="宋体" w:eastAsia="宋体" w:cs="宋体"/>
      <w:b/>
      <w:bCs/>
      <w:color w:val="000000"/>
      <w:sz w:val="22"/>
      <w:szCs w:val="22"/>
      <w:u w:val="none"/>
    </w:rPr>
  </w:style>
  <w:style w:type="character" w:styleId="748" w:customStyle="1">
    <w:name w:val="font181"/>
    <w:basedOn w:val="689"/>
    <w:uiPriority w:val="0"/>
    <w:qFormat/>
    <w:rPr>
      <w:rFonts w:hint="eastAsia" w:ascii="宋体" w:hAnsi="宋体" w:eastAsia="宋体" w:cs="宋体"/>
      <w:b/>
      <w:bCs/>
      <w:color w:val="ff0000"/>
      <w:sz w:val="22"/>
      <w:szCs w:val="22"/>
      <w:u w:val="none"/>
    </w:rPr>
  </w:style>
  <w:style w:type="character" w:styleId="749" w:customStyle="1">
    <w:name w:val="font101"/>
    <w:basedOn w:val="689"/>
    <w:uiPriority w:val="0"/>
    <w:qFormat/>
    <w:rPr>
      <w:rFonts w:hint="eastAsia" w:ascii="宋体" w:hAnsi="宋体" w:eastAsia="宋体" w:cs="宋体"/>
      <w:color w:val="000000"/>
      <w:sz w:val="22"/>
      <w:szCs w:val="22"/>
      <w:u w:val="none"/>
    </w:rPr>
  </w:style>
  <w:style w:type="character" w:styleId="750" w:customStyle="1">
    <w:name w:val="font131"/>
    <w:basedOn w:val="689"/>
    <w:uiPriority w:val="0"/>
    <w:qFormat/>
    <w:rPr>
      <w:rFonts w:hint="eastAsia" w:ascii="宋体" w:hAnsi="宋体" w:eastAsia="宋体" w:cs="宋体"/>
      <w:color w:val="000000"/>
      <w:sz w:val="24"/>
      <w:szCs w:val="24"/>
      <w:u w:val="none"/>
    </w:rPr>
  </w:style>
  <w:style w:type="character" w:styleId="751" w:customStyle="1">
    <w:name w:val="font191"/>
    <w:basedOn w:val="689"/>
    <w:uiPriority w:val="0"/>
    <w:qFormat/>
    <w:rPr>
      <w:rFonts w:hint="eastAsia" w:ascii="宋体" w:hAnsi="宋体" w:eastAsia="宋体" w:cs="宋体"/>
      <w:color w:val="000000"/>
      <w:sz w:val="24"/>
      <w:szCs w:val="24"/>
      <w:u w:val="single"/>
    </w:rPr>
  </w:style>
  <w:style w:type="character" w:styleId="752" w:customStyle="1">
    <w:name w:val="font201"/>
    <w:basedOn w:val="689"/>
    <w:uiPriority w:val="0"/>
    <w:qFormat/>
    <w:rPr>
      <w:rFonts w:hint="default" w:ascii="Arial" w:hAnsi="Arial" w:cs="Arial"/>
      <w:color w:val="000000"/>
      <w:sz w:val="24"/>
      <w:szCs w:val="24"/>
      <w:u w:val="none"/>
    </w:rPr>
  </w:style>
  <w:style w:type="character" w:styleId="753" w:customStyle="1">
    <w:name w:val="font12"/>
    <w:basedOn w:val="689"/>
    <w:uiPriority w:val="0"/>
    <w:qFormat/>
    <w:rPr>
      <w:rFonts w:hint="eastAsia" w:ascii="宋体" w:hAnsi="宋体" w:eastAsia="宋体" w:cs="宋体"/>
      <w:color w:val="000000"/>
      <w:sz w:val="22"/>
      <w:szCs w:val="22"/>
      <w:u w:val="none"/>
    </w:rPr>
  </w:style>
  <w:style w:type="character" w:styleId="754" w:customStyle="1">
    <w:name w:val="font111"/>
    <w:basedOn w:val="689"/>
    <w:uiPriority w:val="0"/>
    <w:qFormat/>
    <w:rPr>
      <w:rFonts w:hint="eastAsia" w:ascii="宋体" w:hAnsi="宋体" w:eastAsia="宋体" w:cs="宋体"/>
      <w:b/>
      <w:bCs/>
      <w:color w:val="000000"/>
      <w:sz w:val="22"/>
      <w:szCs w:val="22"/>
      <w:u w:val="none"/>
    </w:rPr>
  </w:style>
  <w:style w:type="character" w:styleId="755" w:customStyle="1">
    <w:name w:val="font122"/>
    <w:basedOn w:val="689"/>
    <w:uiPriority w:val="0"/>
    <w:qFormat/>
    <w:rPr>
      <w:rFonts w:hint="eastAsia" w:ascii="宋体" w:hAnsi="宋体" w:eastAsia="宋体" w:cs="宋体"/>
      <w:color w:val="000000"/>
      <w:sz w:val="24"/>
      <w:szCs w:val="24"/>
      <w:u w:val="none"/>
    </w:rPr>
  </w:style>
  <w:style w:type="character" w:styleId="756" w:customStyle="1">
    <w:name w:val="font91"/>
    <w:basedOn w:val="689"/>
    <w:uiPriority w:val="0"/>
    <w:qFormat/>
    <w:rPr>
      <w:rFonts w:hint="eastAsia" w:ascii="宋体" w:hAnsi="宋体" w:eastAsia="宋体" w:cs="宋体"/>
      <w:b/>
      <w:bCs/>
      <w:color w:val="000000"/>
      <w:sz w:val="22"/>
      <w:szCs w:val="22"/>
      <w:u w:val="none"/>
    </w:rPr>
  </w:style>
  <w:style w:type="character" w:styleId="757" w:customStyle="1">
    <w:name w:val="font51"/>
    <w:basedOn w:val="689"/>
    <w:uiPriority w:val="0"/>
    <w:qFormat/>
    <w:rPr>
      <w:rFonts w:hint="eastAsia" w:ascii="宋体" w:hAnsi="宋体" w:eastAsia="宋体" w:cs="宋体"/>
      <w:color w:val="000000"/>
      <w:sz w:val="22"/>
      <w:szCs w:val="22"/>
      <w:u w:val="none"/>
    </w:rPr>
  </w:style>
  <w:style w:type="character" w:styleId="758" w:customStyle="1">
    <w:name w:val="font121"/>
    <w:basedOn w:val="689"/>
    <w:uiPriority w:val="0"/>
    <w:qFormat/>
    <w:rPr>
      <w:rFonts w:hint="eastAsia" w:ascii="宋体" w:hAnsi="宋体" w:eastAsia="宋体" w:cs="宋体"/>
      <w:color w:val="000000"/>
      <w:sz w:val="24"/>
      <w:szCs w:val="24"/>
      <w:u w:val="none"/>
    </w:rPr>
  </w:style>
  <w:style w:type="character" w:styleId="759" w:customStyle="1">
    <w:name w:val="font15"/>
    <w:basedOn w:val="689"/>
    <w:uiPriority w:val="0"/>
    <w:qFormat/>
    <w:rPr>
      <w:rFonts w:hint="eastAsia" w:ascii="宋体" w:hAnsi="宋体" w:eastAsia="宋体" w:cs="宋体"/>
      <w:color w:val="000000"/>
      <w:sz w:val="24"/>
      <w:szCs w:val="24"/>
      <w:u w:val="none"/>
    </w:rPr>
  </w:style>
  <w:style w:type="character" w:styleId="760" w:customStyle="1">
    <w:name w:val="font152"/>
    <w:basedOn w:val="689"/>
    <w:uiPriority w:val="0"/>
    <w:qFormat/>
    <w:rPr>
      <w:rFonts w:hint="eastAsia" w:ascii="宋体" w:hAnsi="宋体" w:eastAsia="宋体" w:cs="宋体"/>
      <w:color w:val="000000"/>
      <w:sz w:val="24"/>
      <w:szCs w:val="24"/>
      <w:u w:val="none"/>
      <w:vertAlign w:val="superscript"/>
    </w:rPr>
  </w:style>
  <w:style w:type="character" w:styleId="761" w:customStyle="1">
    <w:name w:val="font41"/>
    <w:basedOn w:val="689"/>
    <w:uiPriority w:val="0"/>
    <w:qFormat/>
    <w:rPr>
      <w:rFonts w:hint="eastAsia" w:ascii="宋体" w:hAnsi="宋体" w:eastAsia="宋体" w:cs="宋体"/>
      <w:color w:val="000000"/>
      <w:sz w:val="22"/>
      <w:szCs w:val="22"/>
      <w:u w:val="none"/>
    </w:rPr>
  </w:style>
  <w:style w:type="paragraph" w:styleId="762" w:customStyle="1">
    <w:name w:val="纯文本1"/>
    <w:basedOn w:val="684"/>
    <w:uiPriority w:val="0"/>
    <w:qFormat/>
    <w:rPr>
      <w:rFonts w:ascii="宋体" w:hAnsi="Courier New"/>
    </w:rPr>
  </w:style>
  <w:style w:type="paragraph" w:styleId="763" w:customStyle="1">
    <w:name w:val="索引 41"/>
    <w:basedOn w:val="684"/>
    <w:next w:val="684"/>
    <w:uiPriority w:val="99"/>
    <w:unhideWhenUsed/>
    <w:qFormat/>
    <w:pPr>
      <w:ind w:left="600"/>
      <w:spacing w:before="100" w:beforeAutospacing="1" w:after="100" w:afterAutospacing="1"/>
    </w:pPr>
    <w:rPr>
      <w:rFonts w:ascii="宋体"/>
      <w:b/>
      <w:bCs/>
      <w:position w:val="-10"/>
      <w:sz w:val="24"/>
      <w:szCs w:val="22"/>
    </w:rPr>
  </w:style>
  <w:style w:type="paragraph" w:styleId="764" w:customStyle="1">
    <w:name w:val="标题 11"/>
    <w:basedOn w:val="684"/>
    <w:next w:val="684"/>
    <w:uiPriority w:val="9"/>
    <w:qFormat/>
    <w:pPr>
      <w:jc w:val="center"/>
      <w:keepNext/>
      <w:outlineLvl w:val="0"/>
    </w:pPr>
    <w:rPr>
      <w:rFonts w:ascii="楷体_GB2312" w:eastAsia="楷体_GB2312"/>
      <w:sz w:val="28"/>
      <w:szCs w:val="28"/>
    </w:rPr>
  </w:style>
  <w:style w:type="character" w:styleId="765" w:customStyle="1">
    <w:name w:val="font21"/>
    <w:basedOn w:val="689"/>
    <w:uiPriority w:val="0"/>
    <w:qFormat/>
    <w:rPr>
      <w:rFonts w:hint="eastAsia" w:ascii="宋体" w:hAnsi="宋体" w:eastAsia="宋体" w:cs="宋体"/>
      <w:color w:val="000000"/>
      <w:sz w:val="20"/>
      <w:szCs w:val="20"/>
      <w:u w:val="none"/>
    </w:rPr>
  </w:style>
  <w:style w:type="character" w:styleId="766" w:customStyle="1">
    <w:name w:val="标题 2 Char"/>
    <w:link w:val="686"/>
    <w:uiPriority w:val="0"/>
    <w:qFormat/>
    <w:rPr>
      <w:rFonts w:ascii="Arial" w:hAnsi="Arial" w:eastAsia="幼圆" w:cs="Arial"/>
      <w:b/>
      <w:bCs/>
      <w:sz w:val="44"/>
      <w:szCs w:val="44"/>
    </w:rPr>
  </w:style>
  <w:style w:type="paragraph" w:styleId="767" w:customStyle="1">
    <w:name w:val="正文首行缩进 21"/>
    <w:basedOn w:val="768"/>
    <w:uiPriority w:val="0"/>
    <w:qFormat/>
    <w:pPr>
      <w:ind w:firstLine="420"/>
    </w:pPr>
  </w:style>
  <w:style w:type="paragraph" w:styleId="768" w:customStyle="1">
    <w:name w:val="正文文本缩进1"/>
    <w:basedOn w:val="684"/>
    <w:uiPriority w:val="0"/>
    <w:qFormat/>
    <w:pPr>
      <w:ind w:left="420"/>
      <w:spacing w:after="120"/>
    </w:pPr>
  </w:style>
  <w:style w:type="paragraph" w:styleId="769" w:customStyle="1">
    <w:name w:val="首行缩进"/>
    <w:basedOn w:val="684"/>
    <w:uiPriority w:val="0"/>
    <w:qFormat/>
    <w:pPr>
      <w:ind w:firstLine="480"/>
    </w:pPr>
    <w:rPr>
      <w:lang w:val="zh-CN"/>
    </w:rPr>
  </w:style>
  <w:style w:type="numbering" w:styleId="131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F4C7804-0B47-4E8E-BE93-B444349C73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李杨</cp:lastModifiedBy>
  <cp:revision>8</cp:revision>
  <dcterms:created xsi:type="dcterms:W3CDTF">2023-05-26T07:15:00Z</dcterms:created>
  <dcterms:modified xsi:type="dcterms:W3CDTF">2025-10-11T04:05:49Z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AEAE272FBD644A93BC3A8F0150BDBB0F_13</vt:lpwstr>
  </property>
  <property fmtid="{D5CDD505-2E9C-101B-9397-08002B2CF9AE}" pid="4" name="KSOTemplateDocerSaveRecord">
    <vt:lpwstr>eyJoZGlkIjoiMjE2YmJlNWRlODU4NmE5YTdkNDNhYWJiZmVmMzMxZjkiLCJ1c2VySWQiOiI2NjA4ODUxMjAifQ==</vt:lpwstr>
  </property>
</Properties>
</file>